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95A" w:rsidRDefault="003A638A">
      <w:pPr>
        <w:spacing w:after="0" w:line="24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Федеральное государственное образовательное бюджетное учреждение высшего образования</w:t>
      </w: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 при Правительстве Российской Федерации» (Финансовый университет)</w:t>
      </w:r>
    </w:p>
    <w:p w:rsidR="0024195A" w:rsidRDefault="0024195A">
      <w:pPr>
        <w:spacing w:after="0" w:line="240" w:lineRule="auto"/>
        <w:rPr>
          <w:rFonts w:ascii="Times New Roman" w:eastAsia="Times New Roman" w:hAnsi="Times New Roman" w:cs="Times New Roman"/>
          <w:b/>
          <w:sz w:val="28"/>
          <w:szCs w:val="28"/>
        </w:rPr>
      </w:pP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Департамент налогов и налогового администрирования </w:t>
      </w:r>
    </w:p>
    <w:p w:rsidR="0024195A" w:rsidRDefault="003A638A">
      <w:pPr>
        <w:spacing w:after="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Факультета налогов, аудита и бизнес-анализа</w:t>
      </w:r>
    </w:p>
    <w:p w:rsidR="0024195A" w:rsidRDefault="0024195A">
      <w:pPr>
        <w:spacing w:after="0" w:line="240" w:lineRule="auto"/>
        <w:jc w:val="center"/>
        <w:rPr>
          <w:rFonts w:ascii="Times New Roman" w:eastAsia="Times New Roman" w:hAnsi="Times New Roman" w:cs="Times New Roman"/>
          <w:b/>
          <w:sz w:val="28"/>
          <w:szCs w:val="28"/>
        </w:rPr>
      </w:pPr>
    </w:p>
    <w:p w:rsidR="0024195A" w:rsidRDefault="0024195A">
      <w:pPr>
        <w:spacing w:after="0" w:line="240" w:lineRule="auto"/>
        <w:jc w:val="center"/>
        <w:rPr>
          <w:rFonts w:ascii="Times New Roman" w:eastAsia="Times New Roman" w:hAnsi="Times New Roman" w:cs="Times New Roman"/>
          <w:b/>
          <w:sz w:val="28"/>
          <w:szCs w:val="28"/>
        </w:rPr>
      </w:pPr>
    </w:p>
    <w:p w:rsidR="0024195A" w:rsidRDefault="0024195A">
      <w:pPr>
        <w:spacing w:line="240" w:lineRule="auto"/>
        <w:jc w:val="right"/>
        <w:rPr>
          <w:rFonts w:ascii="Times New Roman" w:eastAsia="Times New Roman" w:hAnsi="Times New Roman" w:cs="Times New Roman"/>
          <w:sz w:val="28"/>
          <w:szCs w:val="28"/>
        </w:rPr>
      </w:pPr>
    </w:p>
    <w:p w:rsidR="0024195A" w:rsidRDefault="003A638A">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Князева А.В., Назарова Н.А.</w:t>
      </w:r>
    </w:p>
    <w:p w:rsidR="0024195A" w:rsidRDefault="0024195A">
      <w:pPr>
        <w:spacing w:line="240" w:lineRule="auto"/>
        <w:jc w:val="center"/>
        <w:rPr>
          <w:rFonts w:ascii="Times New Roman" w:eastAsia="Times New Roman" w:hAnsi="Times New Roman" w:cs="Times New Roman"/>
          <w:b/>
          <w:sz w:val="28"/>
          <w:szCs w:val="28"/>
        </w:rPr>
      </w:pP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НАЛОГОВОЕ ПЛАНИРОВАНИЕ В</w:t>
      </w: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ЭНЕРГЕТИЧЕСКИХ КОМПАНИЯХ (НА АНГЛИЙСКОМ ЯЗЫКЕ)</w:t>
      </w:r>
    </w:p>
    <w:p w:rsidR="0024195A" w:rsidRDefault="0024195A">
      <w:pPr>
        <w:spacing w:after="0" w:line="240" w:lineRule="auto"/>
        <w:jc w:val="center"/>
        <w:rPr>
          <w:rFonts w:ascii="Times New Roman" w:eastAsia="Times New Roman" w:hAnsi="Times New Roman" w:cs="Times New Roman"/>
        </w:rPr>
      </w:pPr>
    </w:p>
    <w:p w:rsidR="0024195A" w:rsidRDefault="003A638A">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дисциплины</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38.04.01 «Экономика» </w:t>
      </w:r>
    </w:p>
    <w:p w:rsidR="0024195A" w:rsidRDefault="0024195A">
      <w:pPr>
        <w:spacing w:after="0" w:line="240" w:lineRule="auto"/>
        <w:jc w:val="center"/>
        <w:rPr>
          <w:rFonts w:ascii="Times New Roman" w:eastAsia="Times New Roman" w:hAnsi="Times New Roman" w:cs="Times New Roman"/>
          <w:sz w:val="28"/>
          <w:szCs w:val="28"/>
        </w:rPr>
      </w:pP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Направленность программы магистратуры </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«Международный энергетический бизнес</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 частичной реализацией на английском языке)»</w:t>
      </w: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3A63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Москва 2023</w:t>
      </w:r>
      <w:r>
        <w:br w:type="page"/>
      </w:r>
    </w:p>
    <w:p w:rsidR="0024195A" w:rsidRDefault="003A638A">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Федеральное государственное образовательное бюджетное учреждение высшего образования </w:t>
      </w:r>
    </w:p>
    <w:p w:rsidR="0024195A" w:rsidRDefault="003A63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 Российской Федерации» (Финансовый университет)</w:t>
      </w: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Департамент налогов и налогового администрирования </w:t>
      </w:r>
    </w:p>
    <w:p w:rsidR="0024195A" w:rsidRDefault="003A638A">
      <w:pPr>
        <w:spacing w:after="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Факультета налогов, аудита и бизнес-анализа</w:t>
      </w:r>
    </w:p>
    <w:p w:rsidR="0024195A" w:rsidRDefault="0024195A">
      <w:pPr>
        <w:spacing w:after="0"/>
        <w:jc w:val="center"/>
        <w:rPr>
          <w:rFonts w:ascii="Times New Roman" w:eastAsiaTheme="minorEastAsia" w:hAnsi="Times New Roman" w:cs="Times New Roman"/>
          <w:b/>
          <w:sz w:val="28"/>
          <w:szCs w:val="28"/>
        </w:rPr>
      </w:pPr>
    </w:p>
    <w:tbl>
      <w:tblPr>
        <w:tblW w:w="9063" w:type="dxa"/>
        <w:tblInd w:w="-109" w:type="dxa"/>
        <w:tblLayout w:type="fixed"/>
        <w:tblLook w:val="04A0" w:firstRow="1" w:lastRow="0" w:firstColumn="1" w:lastColumn="0" w:noHBand="0" w:noVBand="1"/>
      </w:tblPr>
      <w:tblGrid>
        <w:gridCol w:w="4962"/>
        <w:gridCol w:w="4101"/>
      </w:tblGrid>
      <w:tr w:rsidR="0024195A">
        <w:trPr>
          <w:trHeight w:val="2943"/>
        </w:trPr>
        <w:tc>
          <w:tcPr>
            <w:tcW w:w="4961" w:type="dxa"/>
          </w:tcPr>
          <w:p w:rsidR="0024195A" w:rsidRDefault="003A638A">
            <w:pPr>
              <w:pStyle w:val="afc"/>
              <w:rPr>
                <w:rFonts w:ascii="Times New Roman" w:hAnsi="Times New Roman"/>
                <w:sz w:val="28"/>
                <w:szCs w:val="28"/>
              </w:rPr>
            </w:pPr>
            <w:r>
              <w:rPr>
                <w:rFonts w:ascii="Times New Roman" w:hAnsi="Times New Roman"/>
                <w:sz w:val="28"/>
                <w:szCs w:val="28"/>
              </w:rPr>
              <w:t>СОГЛАСОВАНО</w:t>
            </w:r>
          </w:p>
          <w:p w:rsidR="0024195A" w:rsidRDefault="003A638A">
            <w:pPr>
              <w:pStyle w:val="afc"/>
              <w:rPr>
                <w:rFonts w:ascii="Times New Roman" w:hAnsi="Times New Roman"/>
                <w:sz w:val="28"/>
                <w:szCs w:val="28"/>
              </w:rPr>
            </w:pPr>
            <w:r>
              <w:rPr>
                <w:rFonts w:ascii="Times New Roman" w:hAnsi="Times New Roman"/>
                <w:sz w:val="28"/>
                <w:szCs w:val="28"/>
              </w:rPr>
              <w:t>ООО «Легикон-Право»</w:t>
            </w:r>
          </w:p>
          <w:p w:rsidR="0024195A" w:rsidRDefault="003A638A">
            <w:pPr>
              <w:pStyle w:val="afc"/>
              <w:rPr>
                <w:rFonts w:ascii="Times New Roman" w:hAnsi="Times New Roman"/>
                <w:sz w:val="28"/>
                <w:szCs w:val="28"/>
              </w:rPr>
            </w:pPr>
            <w:r>
              <w:rPr>
                <w:rFonts w:ascii="Times New Roman" w:hAnsi="Times New Roman"/>
                <w:sz w:val="28"/>
                <w:szCs w:val="28"/>
              </w:rPr>
              <w:t>Заместитель генерального</w:t>
            </w:r>
          </w:p>
          <w:p w:rsidR="0024195A" w:rsidRDefault="003A638A">
            <w:pPr>
              <w:pStyle w:val="afc"/>
              <w:rPr>
                <w:rFonts w:ascii="Times New Roman" w:hAnsi="Times New Roman"/>
                <w:sz w:val="28"/>
                <w:szCs w:val="28"/>
              </w:rPr>
            </w:pPr>
            <w:r>
              <w:rPr>
                <w:rFonts w:ascii="Times New Roman" w:hAnsi="Times New Roman"/>
                <w:sz w:val="28"/>
                <w:szCs w:val="28"/>
              </w:rPr>
              <w:t>директора</w:t>
            </w:r>
          </w:p>
          <w:p w:rsidR="0024195A" w:rsidRDefault="003A638A">
            <w:pPr>
              <w:pStyle w:val="afc"/>
              <w:rPr>
                <w:rFonts w:ascii="Times New Roman" w:hAnsi="Times New Roman"/>
                <w:sz w:val="28"/>
                <w:szCs w:val="28"/>
              </w:rPr>
            </w:pPr>
            <w:r>
              <w:rPr>
                <w:rFonts w:ascii="Times New Roman" w:hAnsi="Times New Roman"/>
                <w:sz w:val="28"/>
                <w:szCs w:val="28"/>
              </w:rPr>
              <w:t xml:space="preserve"> А.И. Евстратов</w:t>
            </w:r>
          </w:p>
          <w:p w:rsidR="0024195A" w:rsidRDefault="003A638A">
            <w:pPr>
              <w:pStyle w:val="afc"/>
              <w:rPr>
                <w:rFonts w:ascii="Times New Roman" w:hAnsi="Times New Roman"/>
                <w:sz w:val="28"/>
                <w:szCs w:val="28"/>
              </w:rPr>
            </w:pPr>
            <w:r>
              <w:rPr>
                <w:rFonts w:ascii="Times New Roman" w:hAnsi="Times New Roman"/>
                <w:sz w:val="28"/>
                <w:szCs w:val="28"/>
              </w:rPr>
              <w:t>«</w:t>
            </w:r>
            <w:r w:rsidR="005237CE">
              <w:rPr>
                <w:rFonts w:ascii="Times New Roman" w:hAnsi="Times New Roman"/>
                <w:sz w:val="28"/>
                <w:szCs w:val="28"/>
              </w:rPr>
              <w:t>6</w:t>
            </w:r>
            <w:r>
              <w:rPr>
                <w:rFonts w:ascii="Times New Roman" w:hAnsi="Times New Roman"/>
                <w:sz w:val="28"/>
                <w:szCs w:val="28"/>
              </w:rPr>
              <w:t xml:space="preserve">» </w:t>
            </w:r>
            <w:r w:rsidR="005237CE">
              <w:rPr>
                <w:rFonts w:ascii="Times New Roman" w:hAnsi="Times New Roman"/>
                <w:sz w:val="28"/>
                <w:szCs w:val="28"/>
              </w:rPr>
              <w:t>декабря</w:t>
            </w:r>
            <w:bookmarkStart w:id="0" w:name="_GoBack"/>
            <w:bookmarkEnd w:id="0"/>
            <w:r>
              <w:rPr>
                <w:rFonts w:ascii="Times New Roman" w:hAnsi="Times New Roman"/>
                <w:sz w:val="28"/>
                <w:szCs w:val="28"/>
              </w:rPr>
              <w:t xml:space="preserve">  2023 г.</w:t>
            </w:r>
          </w:p>
          <w:p w:rsidR="0024195A" w:rsidRDefault="0024195A">
            <w:pPr>
              <w:widowControl w:val="0"/>
              <w:snapToGrid w:val="0"/>
              <w:spacing w:after="0" w:line="240" w:lineRule="auto"/>
              <w:rPr>
                <w:rFonts w:ascii="Times New Roman" w:eastAsia="Times New Roman" w:hAnsi="Times New Roman" w:cs="Times New Roman"/>
                <w:b/>
                <w:sz w:val="28"/>
                <w:szCs w:val="28"/>
              </w:rPr>
            </w:pPr>
          </w:p>
          <w:p w:rsidR="0024195A" w:rsidRDefault="0024195A">
            <w:pPr>
              <w:widowControl w:val="0"/>
              <w:tabs>
                <w:tab w:val="left" w:pos="645"/>
                <w:tab w:val="left" w:pos="5954"/>
              </w:tabs>
              <w:snapToGrid w:val="0"/>
              <w:spacing w:after="0" w:line="240" w:lineRule="auto"/>
              <w:rPr>
                <w:rFonts w:ascii="Times New Roman" w:hAnsi="Times New Roman" w:cs="Times New Roman"/>
                <w:sz w:val="28"/>
                <w:szCs w:val="28"/>
              </w:rPr>
            </w:pPr>
          </w:p>
        </w:tc>
        <w:tc>
          <w:tcPr>
            <w:tcW w:w="4101" w:type="dxa"/>
          </w:tcPr>
          <w:p w:rsidR="0024195A" w:rsidRDefault="003A638A">
            <w:pPr>
              <w:widowControl w:val="0"/>
              <w:snapToGrid w:val="0"/>
              <w:spacing w:after="0" w:line="240" w:lineRule="auto"/>
              <w:ind w:left="457"/>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УТВЕРЖДАЮ</w:t>
            </w:r>
          </w:p>
          <w:p w:rsidR="0024195A" w:rsidRDefault="003A638A">
            <w:pPr>
              <w:widowControl w:val="0"/>
              <w:snapToGrid w:val="0"/>
              <w:spacing w:after="0" w:line="240" w:lineRule="auto"/>
              <w:ind w:left="457"/>
              <w:rPr>
                <w:rFonts w:ascii="Times New Roman" w:eastAsia="Times New Roman" w:hAnsi="Times New Roman" w:cs="Times New Roman"/>
                <w:caps/>
                <w:sz w:val="28"/>
                <w:szCs w:val="28"/>
              </w:rPr>
            </w:pPr>
            <w:r>
              <w:rPr>
                <w:rFonts w:ascii="Times New Roman" w:eastAsia="Times New Roman" w:hAnsi="Times New Roman" w:cs="Times New Roman"/>
                <w:sz w:val="28"/>
                <w:szCs w:val="28"/>
              </w:rPr>
              <w:t>Проректор по учебной и методической работе</w:t>
            </w:r>
          </w:p>
          <w:p w:rsidR="0024195A" w:rsidRDefault="0024195A">
            <w:pPr>
              <w:widowControl w:val="0"/>
              <w:snapToGrid w:val="0"/>
              <w:spacing w:after="0" w:line="240" w:lineRule="auto"/>
              <w:ind w:left="457"/>
              <w:rPr>
                <w:rFonts w:ascii="Times New Roman" w:eastAsia="Times New Roman" w:hAnsi="Times New Roman" w:cs="Times New Roman"/>
                <w:caps/>
                <w:sz w:val="28"/>
                <w:szCs w:val="28"/>
              </w:rPr>
            </w:pPr>
          </w:p>
          <w:p w:rsidR="0024195A" w:rsidRDefault="003A638A">
            <w:pPr>
              <w:widowControl w:val="0"/>
              <w:snapToGrid w:val="0"/>
              <w:spacing w:after="0" w:line="240" w:lineRule="auto"/>
              <w:ind w:left="457"/>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Е.А. К</w:t>
            </w:r>
            <w:r>
              <w:rPr>
                <w:rFonts w:ascii="Times New Roman" w:eastAsia="Times New Roman" w:hAnsi="Times New Roman" w:cs="Times New Roman"/>
                <w:sz w:val="28"/>
                <w:szCs w:val="28"/>
              </w:rPr>
              <w:t>аменева</w:t>
            </w:r>
          </w:p>
          <w:p w:rsidR="0024195A" w:rsidRDefault="003A638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w:t>
            </w:r>
            <w:r w:rsidR="005237CE">
              <w:rPr>
                <w:rFonts w:ascii="Times New Roman" w:eastAsia="Times New Roman" w:hAnsi="Times New Roman" w:cs="Times New Roman"/>
                <w:caps/>
                <w:sz w:val="28"/>
                <w:szCs w:val="28"/>
              </w:rPr>
              <w:t>27</w:t>
            </w:r>
            <w:r>
              <w:rPr>
                <w:rFonts w:ascii="Times New Roman" w:eastAsia="Times New Roman" w:hAnsi="Times New Roman" w:cs="Times New Roman"/>
                <w:caps/>
                <w:sz w:val="28"/>
                <w:szCs w:val="28"/>
              </w:rPr>
              <w:t xml:space="preserve">» </w:t>
            </w:r>
            <w:r w:rsidR="005237CE">
              <w:rPr>
                <w:rFonts w:ascii="Times New Roman" w:hAnsi="Times New Roman" w:cs="Times New Roman"/>
                <w:sz w:val="28"/>
                <w:szCs w:val="28"/>
              </w:rPr>
              <w:t xml:space="preserve">декабря </w:t>
            </w:r>
            <w:r>
              <w:rPr>
                <w:rFonts w:ascii="Times New Roman" w:eastAsia="Times New Roman" w:hAnsi="Times New Roman" w:cs="Times New Roman"/>
                <w:caps/>
                <w:sz w:val="28"/>
                <w:szCs w:val="28"/>
              </w:rPr>
              <w:t>202</w:t>
            </w:r>
            <w:r w:rsidRPr="005237CE">
              <w:rPr>
                <w:rFonts w:ascii="Times New Roman" w:eastAsia="Times New Roman" w:hAnsi="Times New Roman" w:cs="Times New Roman"/>
                <w:caps/>
                <w:sz w:val="28"/>
                <w:szCs w:val="28"/>
              </w:rPr>
              <w:t>3</w:t>
            </w:r>
            <w:r>
              <w:rPr>
                <w:rFonts w:ascii="Times New Roman" w:eastAsia="Times New Roman" w:hAnsi="Times New Roman" w:cs="Times New Roman"/>
                <w:caps/>
                <w:sz w:val="28"/>
                <w:szCs w:val="28"/>
              </w:rPr>
              <w:t xml:space="preserve"> </w:t>
            </w:r>
            <w:r>
              <w:rPr>
                <w:rFonts w:ascii="Times New Roman" w:eastAsia="Times New Roman" w:hAnsi="Times New Roman" w:cs="Times New Roman"/>
                <w:sz w:val="28"/>
                <w:szCs w:val="28"/>
              </w:rPr>
              <w:t>г</w:t>
            </w:r>
            <w:r>
              <w:rPr>
                <w:rFonts w:ascii="Times New Roman" w:eastAsia="Times New Roman" w:hAnsi="Times New Roman" w:cs="Times New Roman"/>
                <w:caps/>
                <w:sz w:val="28"/>
                <w:szCs w:val="28"/>
              </w:rPr>
              <w:t>.</w:t>
            </w:r>
          </w:p>
          <w:p w:rsidR="0024195A" w:rsidRDefault="0024195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rsidR="0024195A" w:rsidRDefault="0024195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rsidR="0024195A" w:rsidRDefault="0024195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rsidR="0024195A" w:rsidRDefault="0024195A">
            <w:pPr>
              <w:widowControl w:val="0"/>
              <w:tabs>
                <w:tab w:val="left" w:pos="645"/>
                <w:tab w:val="left" w:pos="5387"/>
              </w:tabs>
              <w:snapToGrid w:val="0"/>
              <w:spacing w:after="0" w:line="240" w:lineRule="auto"/>
              <w:ind w:right="1"/>
              <w:rPr>
                <w:rFonts w:ascii="Times New Roman" w:hAnsi="Times New Roman" w:cs="Times New Roman"/>
                <w:sz w:val="28"/>
                <w:szCs w:val="28"/>
              </w:rPr>
            </w:pPr>
          </w:p>
        </w:tc>
      </w:tr>
    </w:tbl>
    <w:p w:rsidR="0024195A" w:rsidRDefault="0024195A">
      <w:pPr>
        <w:spacing w:line="240" w:lineRule="auto"/>
        <w:jc w:val="center"/>
        <w:rPr>
          <w:rFonts w:ascii="Times New Roman" w:hAnsi="Times New Roman" w:cs="Times New Roman"/>
          <w:b/>
          <w:sz w:val="28"/>
          <w:szCs w:val="28"/>
        </w:rPr>
      </w:pPr>
    </w:p>
    <w:p w:rsidR="0024195A" w:rsidRDefault="003A638A">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Князева А.В., Назарова Н.А.</w:t>
      </w: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НАЛОГОВОЕ ПЛАНИРОВАНИЕ В</w:t>
      </w: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ЭНЕРГЕТИЧЕСКИХ КОМПАНИЯХ (НА АНГЛИЙСКОМ ЯЗЫКЕ)</w:t>
      </w:r>
    </w:p>
    <w:p w:rsidR="0024195A" w:rsidRDefault="0024195A">
      <w:pPr>
        <w:spacing w:after="0" w:line="240" w:lineRule="auto"/>
        <w:jc w:val="center"/>
        <w:rPr>
          <w:rFonts w:ascii="Times New Roman" w:eastAsia="Times New Roman" w:hAnsi="Times New Roman" w:cs="Times New Roman"/>
        </w:rPr>
      </w:pPr>
    </w:p>
    <w:p w:rsidR="0024195A" w:rsidRDefault="003A638A">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дисциплины</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38.04.01 «Экономика» </w:t>
      </w:r>
    </w:p>
    <w:p w:rsidR="0024195A" w:rsidRDefault="0024195A">
      <w:pPr>
        <w:spacing w:after="0" w:line="240" w:lineRule="auto"/>
        <w:jc w:val="center"/>
        <w:rPr>
          <w:rFonts w:ascii="Times New Roman" w:eastAsia="Times New Roman" w:hAnsi="Times New Roman" w:cs="Times New Roman"/>
          <w:sz w:val="28"/>
          <w:szCs w:val="28"/>
        </w:rPr>
      </w:pP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Направленность программы магистратуры </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«Международный энергетический бизнес</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 частичной реализацией на английском языке)»</w:t>
      </w:r>
    </w:p>
    <w:p w:rsidR="0024195A" w:rsidRDefault="0024195A">
      <w:pPr>
        <w:spacing w:line="240" w:lineRule="auto"/>
        <w:jc w:val="center"/>
        <w:rPr>
          <w:rFonts w:ascii="Times New Roman" w:hAnsi="Times New Roman" w:cs="Times New Roman"/>
          <w:i/>
          <w:sz w:val="24"/>
          <w:szCs w:val="24"/>
        </w:rPr>
      </w:pPr>
    </w:p>
    <w:p w:rsidR="0024195A" w:rsidRDefault="0024195A">
      <w:pPr>
        <w:widowControl w:val="0"/>
        <w:spacing w:after="0" w:line="240" w:lineRule="auto"/>
        <w:jc w:val="center"/>
        <w:rPr>
          <w:rFonts w:ascii="Times New Roman" w:hAnsi="Times New Roman" w:cs="Times New Roman"/>
          <w:i/>
          <w:sz w:val="26"/>
          <w:szCs w:val="26"/>
        </w:rPr>
      </w:pPr>
    </w:p>
    <w:p w:rsidR="0024195A" w:rsidRDefault="003A638A">
      <w:pPr>
        <w:ind w:left="-709"/>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rsidR="0024195A" w:rsidRDefault="003A638A">
      <w:pPr>
        <w:jc w:val="center"/>
        <w:rPr>
          <w:rFonts w:ascii="Times New Roman" w:hAnsi="Times New Roman" w:cs="Times New Roman"/>
          <w:i/>
          <w:sz w:val="24"/>
          <w:szCs w:val="24"/>
        </w:rPr>
      </w:pPr>
      <w:r>
        <w:rPr>
          <w:rFonts w:ascii="Times New Roman" w:hAnsi="Times New Roman" w:cs="Times New Roman"/>
          <w:i/>
          <w:sz w:val="24"/>
          <w:szCs w:val="24"/>
        </w:rPr>
        <w:t>протокол № 04 от 29 ноября 2023 г.</w:t>
      </w:r>
    </w:p>
    <w:p w:rsidR="0024195A" w:rsidRDefault="003A638A">
      <w:pPr>
        <w:shd w:val="clear" w:color="auto" w:fill="FFFFFF"/>
        <w:snapToGrid w:val="0"/>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налогов, аудита и бизнес-анализа</w:t>
      </w:r>
    </w:p>
    <w:p w:rsidR="0024195A" w:rsidRDefault="003A638A">
      <w:pPr>
        <w:shd w:val="clear" w:color="auto" w:fill="FFFFFF"/>
        <w:snapToGrid w:val="0"/>
        <w:jc w:val="center"/>
        <w:rPr>
          <w:rFonts w:ascii="Times New Roman" w:hAnsi="Times New Roman" w:cs="Times New Roman"/>
          <w:i/>
          <w:sz w:val="24"/>
          <w:szCs w:val="24"/>
        </w:rPr>
      </w:pPr>
      <w:r>
        <w:rPr>
          <w:rFonts w:ascii="Times New Roman" w:hAnsi="Times New Roman" w:cs="Times New Roman"/>
          <w:i/>
          <w:sz w:val="24"/>
          <w:szCs w:val="24"/>
        </w:rPr>
        <w:t>протокол № 36 от 20 декабря 2023 г.</w:t>
      </w:r>
    </w:p>
    <w:p w:rsidR="0024195A" w:rsidRDefault="0024195A">
      <w:pPr>
        <w:widowControl w:val="0"/>
        <w:spacing w:after="0" w:line="240" w:lineRule="auto"/>
        <w:jc w:val="center"/>
        <w:rPr>
          <w:rFonts w:ascii="Times New Roman" w:hAnsi="Times New Roman" w:cs="Times New Roman"/>
          <w:i/>
          <w:sz w:val="26"/>
          <w:szCs w:val="26"/>
        </w:rPr>
      </w:pPr>
    </w:p>
    <w:p w:rsidR="0024195A" w:rsidRDefault="0024195A">
      <w:pPr>
        <w:spacing w:line="240" w:lineRule="auto"/>
        <w:rPr>
          <w:rFonts w:ascii="Times New Roman" w:hAnsi="Times New Roman" w:cs="Times New Roman"/>
          <w:sz w:val="24"/>
          <w:szCs w:val="24"/>
        </w:rPr>
      </w:pPr>
    </w:p>
    <w:p w:rsidR="0024195A" w:rsidRDefault="003A63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Москва 2023</w:t>
      </w:r>
      <w:r>
        <w:br w:type="page"/>
      </w:r>
    </w:p>
    <w:p w:rsidR="0024195A" w:rsidRDefault="003A638A">
      <w:pPr>
        <w:jc w:val="center"/>
        <w:rPr>
          <w:rFonts w:ascii="Times New Roman" w:eastAsiaTheme="majorEastAsia" w:hAnsi="Times New Roman" w:cs="Times New Roman"/>
          <w:b/>
          <w:bCs/>
          <w:sz w:val="28"/>
          <w:szCs w:val="28"/>
        </w:rPr>
      </w:pPr>
      <w:bookmarkStart w:id="1" w:name="_Toc11051323"/>
      <w:r>
        <w:rPr>
          <w:rFonts w:ascii="Times New Roman" w:hAnsi="Times New Roman" w:cs="Times New Roman"/>
          <w:b/>
          <w:sz w:val="28"/>
          <w:szCs w:val="28"/>
        </w:rPr>
        <w:lastRenderedPageBreak/>
        <w:t>Содержание</w:t>
      </w:r>
      <w:bookmarkEnd w:id="1"/>
    </w:p>
    <w:sdt>
      <w:sdtPr>
        <w:rPr>
          <w:rFonts w:ascii="Calibri" w:eastAsia="Calibri" w:hAnsi="Calibri" w:cs="Calibri"/>
          <w:b w:val="0"/>
          <w:bCs w:val="0"/>
          <w:color w:val="auto"/>
          <w:sz w:val="22"/>
          <w:szCs w:val="22"/>
        </w:rPr>
        <w:id w:val="49853626"/>
        <w:docPartObj>
          <w:docPartGallery w:val="Table of Contents"/>
          <w:docPartUnique/>
        </w:docPartObj>
      </w:sdtPr>
      <w:sdtEndPr/>
      <w:sdtContent>
        <w:p w:rsidR="0024195A" w:rsidRDefault="0024195A">
          <w:pPr>
            <w:pStyle w:val="aff2"/>
          </w:pPr>
        </w:p>
        <w:p w:rsidR="0024195A" w:rsidRDefault="003A638A">
          <w:pPr>
            <w:pStyle w:val="17"/>
            <w:tabs>
              <w:tab w:val="right" w:leader="dot" w:pos="9345"/>
            </w:tabs>
            <w:rPr>
              <w:rFonts w:ascii="Times New Roman" w:eastAsiaTheme="minorEastAsia" w:hAnsi="Times New Roman" w:cs="Times New Roman"/>
              <w:sz w:val="28"/>
              <w:szCs w:val="28"/>
            </w:rPr>
          </w:pPr>
          <w:r>
            <w:fldChar w:fldCharType="begin"/>
          </w:r>
          <w:r>
            <w:rPr>
              <w:rStyle w:val="afd"/>
              <w:rFonts w:ascii="Times New Roman" w:hAnsi="Times New Roman" w:cs="Times New Roman"/>
              <w:webHidden/>
              <w:sz w:val="28"/>
              <w:szCs w:val="28"/>
            </w:rPr>
            <w:instrText xml:space="preserve"> TOC \z \o "1-3" \u \h</w:instrText>
          </w:r>
          <w:r>
            <w:rPr>
              <w:rStyle w:val="afd"/>
              <w:rFonts w:ascii="Times New Roman" w:hAnsi="Times New Roman" w:cs="Times New Roman"/>
              <w:sz w:val="28"/>
              <w:szCs w:val="28"/>
            </w:rPr>
            <w:fldChar w:fldCharType="separate"/>
          </w:r>
        </w:p>
        <w:p w:rsidR="0024195A" w:rsidRDefault="009A0A6E">
          <w:pPr>
            <w:pStyle w:val="17"/>
            <w:tabs>
              <w:tab w:val="right" w:leader="dot" w:pos="9345"/>
            </w:tabs>
            <w:rPr>
              <w:rFonts w:ascii="Times New Roman" w:eastAsiaTheme="minorEastAsia" w:hAnsi="Times New Roman" w:cs="Times New Roman"/>
              <w:sz w:val="28"/>
              <w:szCs w:val="28"/>
            </w:rPr>
          </w:pPr>
          <w:hyperlink w:anchor="_Toc11051324">
            <w:r w:rsidR="003A638A">
              <w:rPr>
                <w:rStyle w:val="afd"/>
                <w:rFonts w:ascii="Times New Roman" w:hAnsi="Times New Roman" w:cs="Times New Roman"/>
                <w:webHidden/>
                <w:sz w:val="28"/>
                <w:szCs w:val="28"/>
              </w:rPr>
              <w:t>1. Наименование дисциплины</w:t>
            </w:r>
            <w:r w:rsidR="003A638A">
              <w:rPr>
                <w:webHidden/>
              </w:rPr>
              <w:fldChar w:fldCharType="begin"/>
            </w:r>
            <w:r w:rsidR="003A638A">
              <w:rPr>
                <w:webHidden/>
              </w:rPr>
              <w:instrText>PAGEREF _Toc11051324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3</w:t>
            </w:r>
            <w:r w:rsidR="003A638A">
              <w:rPr>
                <w:webHidden/>
              </w:rPr>
              <w:fldChar w:fldCharType="end"/>
            </w:r>
          </w:hyperlink>
        </w:p>
        <w:p w:rsidR="0024195A" w:rsidRDefault="009A0A6E">
          <w:pPr>
            <w:pStyle w:val="17"/>
            <w:tabs>
              <w:tab w:val="right" w:leader="dot" w:pos="9345"/>
            </w:tabs>
            <w:rPr>
              <w:rFonts w:ascii="Times New Roman" w:eastAsiaTheme="minorEastAsia" w:hAnsi="Times New Roman" w:cs="Times New Roman"/>
              <w:sz w:val="28"/>
              <w:szCs w:val="28"/>
            </w:rPr>
          </w:pPr>
          <w:hyperlink w:anchor="_Toc11051325">
            <w:r w:rsidR="003A638A">
              <w:rPr>
                <w:rStyle w:val="afd"/>
                <w:rFonts w:ascii="Times New Roman" w:hAnsi="Times New Roman" w:cs="Times New Roman"/>
                <w:webHidden/>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A638A">
              <w:rPr>
                <w:webHidden/>
              </w:rPr>
              <w:fldChar w:fldCharType="begin"/>
            </w:r>
            <w:r w:rsidR="003A638A">
              <w:rPr>
                <w:webHidden/>
              </w:rPr>
              <w:instrText>PAGEREF _Toc11051325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3</w:t>
            </w:r>
            <w:r w:rsidR="003A638A">
              <w:rPr>
                <w:webHidden/>
              </w:rPr>
              <w:fldChar w:fldCharType="end"/>
            </w:r>
          </w:hyperlink>
        </w:p>
        <w:p w:rsidR="0024195A" w:rsidRDefault="009A0A6E">
          <w:pPr>
            <w:pStyle w:val="17"/>
            <w:tabs>
              <w:tab w:val="right" w:leader="dot" w:pos="9345"/>
            </w:tabs>
            <w:rPr>
              <w:rFonts w:ascii="Times New Roman" w:eastAsiaTheme="minorEastAsia" w:hAnsi="Times New Roman" w:cs="Times New Roman"/>
              <w:sz w:val="28"/>
              <w:szCs w:val="28"/>
            </w:rPr>
          </w:pPr>
          <w:hyperlink w:anchor="_Toc11051326">
            <w:r w:rsidR="003A638A">
              <w:rPr>
                <w:rStyle w:val="afd"/>
                <w:rFonts w:ascii="Times New Roman" w:hAnsi="Times New Roman" w:cs="Times New Roman"/>
                <w:webHidden/>
                <w:sz w:val="28"/>
                <w:szCs w:val="28"/>
              </w:rPr>
              <w:t>3. Место дисциплины в структуре образовательной программы</w:t>
            </w:r>
            <w:r w:rsidR="003A638A">
              <w:rPr>
                <w:webHidden/>
              </w:rPr>
              <w:fldChar w:fldCharType="begin"/>
            </w:r>
            <w:r w:rsidR="003A638A">
              <w:rPr>
                <w:webHidden/>
              </w:rPr>
              <w:instrText>PAGEREF _Toc11051326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4</w:t>
            </w:r>
            <w:r w:rsidR="003A638A">
              <w:rPr>
                <w:webHidden/>
              </w:rPr>
              <w:fldChar w:fldCharType="end"/>
            </w:r>
          </w:hyperlink>
        </w:p>
        <w:p w:rsidR="0024195A" w:rsidRDefault="009A0A6E">
          <w:pPr>
            <w:pStyle w:val="17"/>
            <w:tabs>
              <w:tab w:val="right" w:leader="dot" w:pos="9345"/>
            </w:tabs>
            <w:rPr>
              <w:rFonts w:ascii="Times New Roman" w:eastAsiaTheme="minorEastAsia" w:hAnsi="Times New Roman" w:cs="Times New Roman"/>
              <w:sz w:val="28"/>
              <w:szCs w:val="28"/>
            </w:rPr>
          </w:pPr>
          <w:hyperlink w:anchor="_Toc11051327">
            <w:r w:rsidR="003A638A">
              <w:rPr>
                <w:rStyle w:val="afd"/>
                <w:rFonts w:ascii="Times New Roman" w:hAnsi="Times New Roman" w:cs="Times New Roman"/>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A638A">
              <w:rPr>
                <w:webHidden/>
              </w:rPr>
              <w:fldChar w:fldCharType="begin"/>
            </w:r>
            <w:r w:rsidR="003A638A">
              <w:rPr>
                <w:webHidden/>
              </w:rPr>
              <w:instrText>PAGEREF _Toc11051327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5</w:t>
            </w:r>
            <w:r w:rsidR="003A638A">
              <w:rPr>
                <w:webHidden/>
              </w:rPr>
              <w:fldChar w:fldCharType="end"/>
            </w:r>
          </w:hyperlink>
        </w:p>
        <w:p w:rsidR="0024195A" w:rsidRDefault="009A0A6E">
          <w:pPr>
            <w:pStyle w:val="17"/>
            <w:tabs>
              <w:tab w:val="right" w:leader="dot" w:pos="9345"/>
            </w:tabs>
            <w:rPr>
              <w:rFonts w:ascii="Times New Roman" w:eastAsiaTheme="minorEastAsia" w:hAnsi="Times New Roman" w:cs="Times New Roman"/>
              <w:sz w:val="28"/>
              <w:szCs w:val="28"/>
            </w:rPr>
          </w:pPr>
          <w:hyperlink w:anchor="_Toc11051328">
            <w:r w:rsidR="003A638A">
              <w:rPr>
                <w:rStyle w:val="afd"/>
                <w:rFonts w:ascii="Times New Roman" w:hAnsi="Times New Roman" w:cs="Times New Roman"/>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638A">
              <w:rPr>
                <w:webHidden/>
              </w:rPr>
              <w:fldChar w:fldCharType="begin"/>
            </w:r>
            <w:r w:rsidR="003A638A">
              <w:rPr>
                <w:webHidden/>
              </w:rPr>
              <w:instrText>PAGEREF _Toc11051328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5</w:t>
            </w:r>
            <w:r w:rsidR="003A638A">
              <w:rPr>
                <w:webHidden/>
              </w:rPr>
              <w:fldChar w:fldCharType="end"/>
            </w:r>
          </w:hyperlink>
        </w:p>
        <w:p w:rsidR="0024195A" w:rsidRDefault="009A0A6E">
          <w:pPr>
            <w:pStyle w:val="17"/>
            <w:tabs>
              <w:tab w:val="right" w:leader="dot" w:pos="9345"/>
            </w:tabs>
            <w:rPr>
              <w:rFonts w:ascii="Times New Roman" w:eastAsiaTheme="minorEastAsia" w:hAnsi="Times New Roman" w:cs="Times New Roman"/>
              <w:sz w:val="28"/>
              <w:szCs w:val="28"/>
            </w:rPr>
          </w:pPr>
          <w:hyperlink w:anchor="_Toc11051332">
            <w:r w:rsidR="003A638A">
              <w:rPr>
                <w:rStyle w:val="afd"/>
                <w:rFonts w:ascii="Times New Roman" w:hAnsi="Times New Roman" w:cs="Times New Roman"/>
                <w:webHidden/>
                <w:sz w:val="28"/>
                <w:szCs w:val="28"/>
              </w:rPr>
              <w:t>6. Перечень учебно-методического обеспечения для самостоятельной работы обучающихся по дисциплине</w:t>
            </w:r>
            <w:r w:rsidR="003A638A">
              <w:rPr>
                <w:webHidden/>
              </w:rPr>
              <w:fldChar w:fldCharType="begin"/>
            </w:r>
            <w:r w:rsidR="003A638A">
              <w:rPr>
                <w:webHidden/>
              </w:rPr>
              <w:instrText>PAGEREF _Toc11051332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14</w:t>
            </w:r>
            <w:r w:rsidR="003A638A">
              <w:rPr>
                <w:webHidden/>
              </w:rPr>
              <w:fldChar w:fldCharType="end"/>
            </w:r>
          </w:hyperlink>
        </w:p>
        <w:p w:rsidR="0024195A" w:rsidRDefault="009A0A6E">
          <w:pPr>
            <w:pStyle w:val="17"/>
            <w:tabs>
              <w:tab w:val="right" w:leader="dot" w:pos="9345"/>
            </w:tabs>
            <w:rPr>
              <w:rFonts w:ascii="Times New Roman" w:eastAsiaTheme="minorEastAsia" w:hAnsi="Times New Roman" w:cs="Times New Roman"/>
              <w:sz w:val="28"/>
              <w:szCs w:val="28"/>
            </w:rPr>
          </w:pPr>
          <w:hyperlink w:anchor="_Toc11051335">
            <w:r w:rsidR="003A638A">
              <w:rPr>
                <w:rStyle w:val="afd"/>
                <w:rFonts w:ascii="Times New Roman" w:hAnsi="Times New Roman" w:cs="Times New Roman"/>
                <w:webHidden/>
                <w:sz w:val="28"/>
                <w:szCs w:val="28"/>
              </w:rPr>
              <w:t>7. Фонд оценочных средств для проведения промежуточной аттестации обучающихся по дисциплине</w:t>
            </w:r>
            <w:r w:rsidR="003A638A">
              <w:rPr>
                <w:webHidden/>
              </w:rPr>
              <w:fldChar w:fldCharType="begin"/>
            </w:r>
            <w:r w:rsidR="003A638A">
              <w:rPr>
                <w:webHidden/>
              </w:rPr>
              <w:instrText>PAGEREF _Toc11051335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20</w:t>
            </w:r>
            <w:r w:rsidR="003A638A">
              <w:rPr>
                <w:webHidden/>
              </w:rPr>
              <w:fldChar w:fldCharType="end"/>
            </w:r>
          </w:hyperlink>
        </w:p>
        <w:p w:rsidR="0024195A" w:rsidRDefault="009A0A6E">
          <w:pPr>
            <w:pStyle w:val="17"/>
            <w:tabs>
              <w:tab w:val="right" w:leader="dot" w:pos="9345"/>
            </w:tabs>
            <w:rPr>
              <w:rFonts w:ascii="Times New Roman" w:eastAsiaTheme="minorEastAsia" w:hAnsi="Times New Roman" w:cs="Times New Roman"/>
              <w:sz w:val="28"/>
              <w:szCs w:val="28"/>
            </w:rPr>
          </w:pPr>
          <w:hyperlink w:anchor="_Toc11051336">
            <w:r w:rsidR="003A638A">
              <w:rPr>
                <w:rStyle w:val="afd"/>
                <w:rFonts w:ascii="Times New Roman" w:hAnsi="Times New Roman" w:cs="Times New Roman"/>
                <w:webHidden/>
                <w:sz w:val="28"/>
                <w:szCs w:val="28"/>
              </w:rPr>
              <w:t>8. Перечень основной и дополнительной учебной литературы, необходимой для освоения дисциплины</w:t>
            </w:r>
            <w:r w:rsidR="003A638A">
              <w:rPr>
                <w:webHidden/>
              </w:rPr>
              <w:fldChar w:fldCharType="begin"/>
            </w:r>
            <w:r w:rsidR="003A638A">
              <w:rPr>
                <w:webHidden/>
              </w:rPr>
              <w:instrText>PAGEREF _Toc11051336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2</w:t>
            </w:r>
            <w:r w:rsidR="003A638A">
              <w:rPr>
                <w:webHidden/>
              </w:rPr>
              <w:fldChar w:fldCharType="end"/>
            </w:r>
          </w:hyperlink>
          <w:r w:rsidR="00843E69" w:rsidRPr="00843E69">
            <w:rPr>
              <w:rFonts w:ascii="Times New Roman" w:hAnsi="Times New Roman" w:cs="Times New Roman"/>
              <w:sz w:val="28"/>
              <w:szCs w:val="28"/>
            </w:rPr>
            <w:t>7</w:t>
          </w:r>
        </w:p>
        <w:p w:rsidR="0024195A" w:rsidRDefault="009A0A6E">
          <w:pPr>
            <w:pStyle w:val="17"/>
            <w:tabs>
              <w:tab w:val="right" w:leader="dot" w:pos="9345"/>
            </w:tabs>
            <w:rPr>
              <w:rFonts w:ascii="Times New Roman" w:eastAsiaTheme="minorEastAsia" w:hAnsi="Times New Roman" w:cs="Times New Roman"/>
              <w:sz w:val="28"/>
              <w:szCs w:val="28"/>
            </w:rPr>
          </w:pPr>
          <w:hyperlink w:anchor="_Toc11051337">
            <w:r w:rsidR="003A638A">
              <w:rPr>
                <w:rStyle w:val="afd"/>
                <w:rFonts w:ascii="Times New Roman" w:hAnsi="Times New Roman" w:cs="Times New Roman"/>
                <w:webHidden/>
                <w:sz w:val="28"/>
                <w:szCs w:val="28"/>
              </w:rPr>
              <w:t>9. Перечень ресурсов информационно-телекоммуникационной сети «Интернет», необходимых для освоения дисциплины</w:t>
            </w:r>
            <w:r w:rsidR="003A638A">
              <w:rPr>
                <w:webHidden/>
              </w:rPr>
              <w:fldChar w:fldCharType="begin"/>
            </w:r>
            <w:r w:rsidR="003A638A">
              <w:rPr>
                <w:webHidden/>
              </w:rPr>
              <w:instrText>PAGEREF _Toc11051337 \h</w:instrText>
            </w:r>
            <w:r w:rsidR="003A638A">
              <w:rPr>
                <w:webHidden/>
              </w:rPr>
            </w:r>
            <w:r w:rsidR="003A638A">
              <w:rPr>
                <w:webHidden/>
              </w:rPr>
              <w:fldChar w:fldCharType="separate"/>
            </w:r>
            <w:r w:rsidR="003A638A">
              <w:rPr>
                <w:rStyle w:val="afd"/>
                <w:rFonts w:ascii="Times New Roman" w:hAnsi="Times New Roman" w:cs="Times New Roman"/>
                <w:sz w:val="28"/>
                <w:szCs w:val="28"/>
              </w:rPr>
              <w:tab/>
              <w:t>2</w:t>
            </w:r>
            <w:r w:rsidR="003A638A">
              <w:rPr>
                <w:webHidden/>
              </w:rPr>
              <w:fldChar w:fldCharType="end"/>
            </w:r>
          </w:hyperlink>
          <w:r w:rsidR="003A638A">
            <w:rPr>
              <w:rStyle w:val="afd"/>
              <w:rFonts w:ascii="Times New Roman" w:hAnsi="Times New Roman" w:cs="Times New Roman"/>
              <w:sz w:val="28"/>
              <w:szCs w:val="28"/>
            </w:rPr>
            <w:fldChar w:fldCharType="end"/>
          </w:r>
          <w:r w:rsidR="00843E69">
            <w:rPr>
              <w:rStyle w:val="afd"/>
              <w:rFonts w:ascii="Times New Roman" w:hAnsi="Times New Roman" w:cs="Times New Roman"/>
              <w:sz w:val="28"/>
              <w:szCs w:val="28"/>
            </w:rPr>
            <w:t>8</w:t>
          </w:r>
        </w:p>
      </w:sdtContent>
    </w:sdt>
    <w:p w:rsidR="0024195A" w:rsidRDefault="0024195A">
      <w:pPr>
        <w:rPr>
          <w:color w:val="FF0000"/>
        </w:rPr>
      </w:pPr>
    </w:p>
    <w:p w:rsidR="0024195A" w:rsidRDefault="009A0A6E">
      <w:pPr>
        <w:widowControl w:val="0"/>
        <w:tabs>
          <w:tab w:val="right" w:leader="dot" w:pos="9070"/>
        </w:tabs>
        <w:spacing w:after="0"/>
        <w:jc w:val="both"/>
        <w:rPr>
          <w:rFonts w:eastAsia="Times New Roman" w:cs="Times New Roman"/>
          <w:sz w:val="28"/>
          <w:szCs w:val="28"/>
        </w:rPr>
      </w:pPr>
      <w:hyperlink w:anchor="_Toc480739949">
        <w:r w:rsidR="003A638A">
          <w:rPr>
            <w:rFonts w:ascii="Times New Roman" w:eastAsia="Times New Roman" w:hAnsi="Times New Roman" w:cs="Times New Roman"/>
            <w:sz w:val="28"/>
            <w:szCs w:val="28"/>
          </w:rPr>
          <w:t>10. Методические указания для обучающихся по освоению дисциплины и выполнению различных форм самостоятельной работы</w:t>
        </w:r>
        <w:r w:rsidR="003A638A">
          <w:fldChar w:fldCharType="begin"/>
        </w:r>
        <w:r w:rsidR="003A638A">
          <w:rPr>
            <w:rFonts w:ascii="Times New Roman" w:eastAsia="Times New Roman" w:hAnsi="Times New Roman" w:cs="Times New Roman"/>
            <w:sz w:val="28"/>
            <w:szCs w:val="28"/>
          </w:rPr>
          <w:fldChar w:fldCharType="end"/>
        </w:r>
        <w:r w:rsidR="003A638A">
          <w:fldChar w:fldCharType="begin"/>
        </w:r>
        <w:r w:rsidR="003A638A">
          <w:rPr>
            <w:webHidden/>
          </w:rPr>
          <w:instrText>PAGEREF _Toc480739949 \h</w:instrText>
        </w:r>
        <w:r w:rsidR="003A638A">
          <w:fldChar w:fldCharType="separate"/>
        </w:r>
        <w:r w:rsidR="003A638A">
          <w:rPr>
            <w:vanish/>
            <w:webHidden/>
          </w:rPr>
          <w:fldChar w:fldCharType="begin"/>
        </w:r>
        <w:r w:rsidR="003A638A">
          <w:rPr>
            <w:webHidden/>
          </w:rPr>
          <w:fldChar w:fldCharType="end"/>
        </w:r>
        <w:r w:rsidR="003A638A">
          <w:rPr>
            <w:vanish/>
          </w:rPr>
          <w:t xml:space="preserve"> PAGEREF _Toc480739949 \h Ошибка: источник перекрёстной ссылки не найден</w:t>
        </w:r>
        <w:r w:rsidR="003A638A">
          <w:rPr>
            <w:vanish/>
          </w:rPr>
          <w:fldChar w:fldCharType="end"/>
        </w:r>
      </w:hyperlink>
      <w:r w:rsidR="0053089E">
        <w:t>…………………………………………</w:t>
      </w:r>
      <w:r w:rsidR="0053089E" w:rsidRPr="0053089E">
        <w:rPr>
          <w:rFonts w:ascii="Times New Roman" w:hAnsi="Times New Roman" w:cs="Times New Roman"/>
          <w:sz w:val="28"/>
          <w:szCs w:val="28"/>
        </w:rPr>
        <w:t>29</w:t>
      </w:r>
    </w:p>
    <w:p w:rsidR="0024195A" w:rsidRDefault="0024195A">
      <w:pPr>
        <w:widowControl w:val="0"/>
        <w:tabs>
          <w:tab w:val="right" w:leader="dot" w:pos="9070"/>
        </w:tabs>
        <w:spacing w:after="0"/>
        <w:jc w:val="both"/>
        <w:rPr>
          <w:rFonts w:ascii="Times New Roman" w:eastAsia="Times New Roman" w:hAnsi="Times New Roman" w:cs="Times New Roman"/>
          <w:sz w:val="24"/>
          <w:szCs w:val="24"/>
        </w:rPr>
      </w:pPr>
    </w:p>
    <w:p w:rsidR="0024195A" w:rsidRDefault="009A0A6E">
      <w:pPr>
        <w:widowControl w:val="0"/>
        <w:tabs>
          <w:tab w:val="right" w:leader="dot" w:pos="9070"/>
        </w:tabs>
        <w:spacing w:after="0"/>
        <w:jc w:val="both"/>
        <w:rPr>
          <w:rFonts w:eastAsia="Times New Roman" w:cs="Times New Roman"/>
          <w:sz w:val="28"/>
          <w:szCs w:val="28"/>
        </w:rPr>
      </w:pPr>
      <w:hyperlink w:anchor="_Toc480739950">
        <w:r w:rsidR="003A638A">
          <w:rPr>
            <w:rFonts w:ascii="Times New Roman" w:eastAsia="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A638A">
          <w:fldChar w:fldCharType="begin"/>
        </w:r>
        <w:r w:rsidR="003A638A">
          <w:rPr>
            <w:rFonts w:ascii="Times New Roman" w:eastAsia="Times New Roman" w:hAnsi="Times New Roman" w:cs="Times New Roman"/>
            <w:sz w:val="28"/>
            <w:szCs w:val="28"/>
          </w:rPr>
          <w:fldChar w:fldCharType="end"/>
        </w:r>
        <w:r w:rsidR="003A638A">
          <w:fldChar w:fldCharType="begin"/>
        </w:r>
        <w:r w:rsidR="003A638A">
          <w:rPr>
            <w:webHidden/>
          </w:rPr>
          <w:instrText>PAGEREF _Toc480739950 \h</w:instrText>
        </w:r>
        <w:r w:rsidR="003A638A">
          <w:fldChar w:fldCharType="separate"/>
        </w:r>
        <w:r w:rsidR="003A638A">
          <w:rPr>
            <w:vanish/>
            <w:webHidden/>
          </w:rPr>
          <w:fldChar w:fldCharType="begin"/>
        </w:r>
        <w:r w:rsidR="003A638A">
          <w:rPr>
            <w:webHidden/>
          </w:rPr>
          <w:fldChar w:fldCharType="end"/>
        </w:r>
        <w:r w:rsidR="003A638A">
          <w:rPr>
            <w:vanish/>
          </w:rPr>
          <w:t xml:space="preserve"> PAGEREF _Toc480739950 \h Ошибка: источник перекрёстной ссылки не найден</w:t>
        </w:r>
        <w:r w:rsidR="003A638A">
          <w:rPr>
            <w:vanish/>
          </w:rPr>
          <w:fldChar w:fldCharType="end"/>
        </w:r>
      </w:hyperlink>
      <w:r w:rsidR="0053089E">
        <w:t>……………………………………………………………………………………………………………………………..……………….</w:t>
      </w:r>
      <w:r w:rsidR="0053089E" w:rsidRPr="0053089E">
        <w:rPr>
          <w:rFonts w:ascii="Times New Roman" w:hAnsi="Times New Roman" w:cs="Times New Roman"/>
          <w:sz w:val="28"/>
          <w:szCs w:val="28"/>
        </w:rPr>
        <w:t>29</w:t>
      </w:r>
    </w:p>
    <w:p w:rsidR="0024195A" w:rsidRDefault="0024195A">
      <w:pPr>
        <w:widowControl w:val="0"/>
        <w:tabs>
          <w:tab w:val="right" w:leader="dot" w:pos="9070"/>
        </w:tabs>
        <w:spacing w:after="0"/>
        <w:jc w:val="both"/>
        <w:rPr>
          <w:rFonts w:ascii="Times New Roman" w:eastAsia="Times New Roman" w:hAnsi="Times New Roman" w:cs="Times New Roman"/>
          <w:sz w:val="24"/>
          <w:szCs w:val="24"/>
        </w:rPr>
      </w:pPr>
    </w:p>
    <w:p w:rsidR="0024195A" w:rsidRDefault="009A0A6E">
      <w:pPr>
        <w:widowControl w:val="0"/>
        <w:tabs>
          <w:tab w:val="right" w:leader="dot" w:pos="9070"/>
        </w:tabs>
        <w:spacing w:after="0"/>
        <w:jc w:val="both"/>
        <w:rPr>
          <w:rFonts w:eastAsia="Times New Roman" w:cs="Times New Roman"/>
          <w:sz w:val="28"/>
          <w:szCs w:val="28"/>
        </w:rPr>
      </w:pPr>
      <w:hyperlink w:anchor="_Toc480739951">
        <w:r w:rsidR="003A638A">
          <w:rPr>
            <w:rFonts w:ascii="Times New Roman" w:eastAsia="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r w:rsidR="003A638A">
          <w:fldChar w:fldCharType="begin"/>
        </w:r>
        <w:r w:rsidR="003A638A">
          <w:rPr>
            <w:rFonts w:ascii="Times New Roman" w:eastAsia="Times New Roman" w:hAnsi="Times New Roman" w:cs="Times New Roman"/>
            <w:sz w:val="28"/>
            <w:szCs w:val="28"/>
          </w:rPr>
          <w:fldChar w:fldCharType="end"/>
        </w:r>
        <w:r w:rsidR="003A638A">
          <w:fldChar w:fldCharType="begin"/>
        </w:r>
        <w:r w:rsidR="003A638A">
          <w:rPr>
            <w:webHidden/>
          </w:rPr>
          <w:instrText>PAGEREF _Toc480739951 \h</w:instrText>
        </w:r>
        <w:r w:rsidR="003A638A">
          <w:fldChar w:fldCharType="separate"/>
        </w:r>
        <w:r w:rsidR="003A638A">
          <w:rPr>
            <w:vanish/>
            <w:webHidden/>
          </w:rPr>
          <w:fldChar w:fldCharType="begin"/>
        </w:r>
        <w:r w:rsidR="003A638A">
          <w:rPr>
            <w:webHidden/>
          </w:rPr>
          <w:fldChar w:fldCharType="end"/>
        </w:r>
        <w:r w:rsidR="003A638A">
          <w:rPr>
            <w:vanish/>
          </w:rPr>
          <w:t xml:space="preserve"> PAGEREF _Toc480739951 \h Ошибка: источник перекрёстной ссылки не найден</w:t>
        </w:r>
        <w:r w:rsidR="003A638A">
          <w:rPr>
            <w:vanish/>
          </w:rPr>
          <w:fldChar w:fldCharType="end"/>
        </w:r>
      </w:hyperlink>
      <w:r w:rsidR="0053089E">
        <w:t>…………………………………</w:t>
      </w:r>
      <w:r w:rsidR="0053089E" w:rsidRPr="0053089E">
        <w:rPr>
          <w:rFonts w:ascii="Times New Roman" w:hAnsi="Times New Roman" w:cs="Times New Roman"/>
          <w:sz w:val="28"/>
          <w:szCs w:val="28"/>
        </w:rPr>
        <w:t>29</w:t>
      </w:r>
    </w:p>
    <w:p w:rsidR="0024195A" w:rsidRDefault="003A638A">
      <w:pPr>
        <w:rPr>
          <w:rFonts w:ascii="Times New Roman" w:eastAsiaTheme="majorEastAsia" w:hAnsi="Times New Roman" w:cstheme="majorBidi"/>
          <w:b/>
          <w:bCs/>
          <w:sz w:val="28"/>
          <w:szCs w:val="28"/>
        </w:rPr>
      </w:pPr>
      <w:r>
        <w:br w:type="page"/>
      </w:r>
    </w:p>
    <w:p w:rsidR="0024195A" w:rsidRDefault="003A638A">
      <w:pPr>
        <w:pStyle w:val="1"/>
        <w:spacing w:before="0"/>
      </w:pPr>
      <w:bookmarkStart w:id="2" w:name="_Toc11051324"/>
      <w:r>
        <w:lastRenderedPageBreak/>
        <w:t>1. Наименование дисциплины</w:t>
      </w:r>
      <w:bookmarkEnd w:id="2"/>
      <w:r>
        <w:t xml:space="preserve"> </w:t>
      </w:r>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Дисциплина «Налоговое планирование в энергетических компаниях (на английском языке)» для студентов, обучающихся по направлению подготовки 38.04.01 «Экономика», магистерская программа «</w:t>
      </w:r>
      <w:r>
        <w:rPr>
          <w:rFonts w:ascii="Times New Roman" w:eastAsia="Times New Roman" w:hAnsi="Times New Roman" w:cs="Times New Roman"/>
          <w:sz w:val="28"/>
          <w:szCs w:val="28"/>
        </w:rPr>
        <w:t xml:space="preserve">Международный энергетический бизнес (с частичной реализацией на английском языке)» </w:t>
      </w:r>
      <w:r>
        <w:rPr>
          <w:rFonts w:ascii="Times New Roman" w:hAnsi="Times New Roman" w:cs="Times New Roman"/>
          <w:sz w:val="28"/>
          <w:szCs w:val="28"/>
        </w:rPr>
        <w:t>очная форма обучения.</w:t>
      </w:r>
    </w:p>
    <w:p w:rsidR="0024195A" w:rsidRDefault="003A638A">
      <w:pPr>
        <w:pStyle w:val="1"/>
      </w:pPr>
      <w:bookmarkStart w:id="3" w:name="_Toc11051325"/>
      <w:bookmarkStart w:id="4" w:name="_Toc6820732"/>
      <w:r>
        <w:t xml:space="preserve">2. </w:t>
      </w:r>
      <w:r>
        <w:rPr>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Дисциплина «Налоговое планирование в энергетических компаниях (на английском языке)» ориентирована на формирование следующих компетенций</w:t>
      </w:r>
    </w:p>
    <w:p w:rsidR="0024195A" w:rsidRDefault="0024195A">
      <w:pPr>
        <w:spacing w:after="0" w:line="240" w:lineRule="auto"/>
        <w:ind w:firstLine="709"/>
        <w:jc w:val="both"/>
        <w:rPr>
          <w:rFonts w:ascii="Times New Roman" w:hAnsi="Times New Roman" w:cs="Times New Roman"/>
          <w:sz w:val="28"/>
          <w:szCs w:val="28"/>
        </w:rPr>
      </w:pPr>
    </w:p>
    <w:tbl>
      <w:tblPr>
        <w:tblStyle w:val="aff6"/>
        <w:tblW w:w="5000" w:type="pct"/>
        <w:tblLayout w:type="fixed"/>
        <w:tblLook w:val="04A0" w:firstRow="1" w:lastRow="0" w:firstColumn="1" w:lastColumn="0" w:noHBand="0" w:noVBand="1"/>
      </w:tblPr>
      <w:tblGrid>
        <w:gridCol w:w="1586"/>
        <w:gridCol w:w="2002"/>
        <w:gridCol w:w="2583"/>
        <w:gridCol w:w="3400"/>
      </w:tblGrid>
      <w:tr w:rsidR="0024195A">
        <w:tc>
          <w:tcPr>
            <w:tcW w:w="1550"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Код -компетенции</w:t>
            </w:r>
          </w:p>
        </w:tc>
        <w:tc>
          <w:tcPr>
            <w:tcW w:w="1957"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Наименование компетенции</w:t>
            </w:r>
          </w:p>
        </w:tc>
        <w:tc>
          <w:tcPr>
            <w:tcW w:w="2524"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Индикаторы достижения компетенции</w:t>
            </w:r>
          </w:p>
        </w:tc>
        <w:tc>
          <w:tcPr>
            <w:tcW w:w="3323"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24195A">
        <w:trPr>
          <w:trHeight w:val="562"/>
        </w:trPr>
        <w:tc>
          <w:tcPr>
            <w:tcW w:w="1550" w:type="dxa"/>
            <w:vMerge w:val="restart"/>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eastAsia="Courier New" w:hAnsi="Times New Roman" w:cs="Times New Roman"/>
                <w:color w:val="000000"/>
                <w:sz w:val="25"/>
                <w:szCs w:val="25"/>
              </w:rPr>
              <w:t>ПК-2</w:t>
            </w:r>
          </w:p>
        </w:tc>
        <w:tc>
          <w:tcPr>
            <w:tcW w:w="1957" w:type="dxa"/>
            <w:vMerge w:val="restart"/>
          </w:tcPr>
          <w:p w:rsidR="0024195A" w:rsidRDefault="003A638A">
            <w:pPr>
              <w:spacing w:after="0" w:line="240" w:lineRule="auto"/>
              <w:jc w:val="center"/>
              <w:rPr>
                <w:rFonts w:ascii="Times New Roman" w:hAnsi="Times New Roman" w:cs="Times New Roman"/>
                <w:sz w:val="24"/>
                <w:szCs w:val="24"/>
              </w:rPr>
            </w:pPr>
            <w:r>
              <w:rPr>
                <w:rFonts w:ascii="Times New Roman" w:hAnsi="Times New Roman"/>
                <w:sz w:val="24"/>
                <w:szCs w:val="24"/>
              </w:rPr>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 (ПК-2)</w:t>
            </w:r>
          </w:p>
        </w:tc>
        <w:tc>
          <w:tcPr>
            <w:tcW w:w="2524" w:type="dxa"/>
          </w:tcPr>
          <w:p w:rsidR="0024195A" w:rsidRDefault="003A638A">
            <w:pPr>
              <w:widowControl w:val="0"/>
              <w:tabs>
                <w:tab w:val="left" w:pos="514"/>
              </w:tabs>
              <w:spacing w:after="0" w:line="240" w:lineRule="auto"/>
              <w:jc w:val="both"/>
              <w:rPr>
                <w:rFonts w:ascii="Times New Roman" w:hAnsi="Times New Roman" w:cs="Times New Roman"/>
                <w:sz w:val="24"/>
                <w:szCs w:val="24"/>
              </w:rPr>
            </w:pPr>
            <w:r>
              <w:rPr>
                <w:rFonts w:ascii="Times New Roman" w:hAnsi="Times New Roman"/>
                <w:sz w:val="24"/>
                <w:szCs w:val="24"/>
              </w:rPr>
              <w:t>1.Подготавливает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tc>
        <w:tc>
          <w:tcPr>
            <w:tcW w:w="3323" w:type="dxa"/>
          </w:tcPr>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систему показателей эффективности налогового планирования в условиях внешнеэкономической деятельности</w:t>
            </w:r>
          </w:p>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выполнять ранжирование и расчет показателей эффективности налогового планирования при осуществлении внешнеэкономической деятельности</w:t>
            </w:r>
          </w:p>
        </w:tc>
      </w:tr>
      <w:tr w:rsidR="0024195A">
        <w:trPr>
          <w:trHeight w:val="562"/>
        </w:trPr>
        <w:tc>
          <w:tcPr>
            <w:tcW w:w="1550"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1957"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2524" w:type="dxa"/>
          </w:tcPr>
          <w:p w:rsidR="0024195A" w:rsidRDefault="003A638A">
            <w:pPr>
              <w:spacing w:after="0" w:line="240" w:lineRule="auto"/>
              <w:jc w:val="both"/>
              <w:rPr>
                <w:rFonts w:ascii="Times New Roman" w:hAnsi="Times New Roman" w:cs="Times New Roman"/>
                <w:sz w:val="24"/>
                <w:szCs w:val="24"/>
              </w:rPr>
            </w:pPr>
            <w:r>
              <w:rPr>
                <w:rFonts w:ascii="Times New Roman" w:hAnsi="Times New Roman"/>
                <w:sz w:val="24"/>
                <w:szCs w:val="24"/>
              </w:rPr>
              <w:t>2. Выбирает формы, методы и инструменты прогноза различных бизнес-процессов в деятельности энергетических компаний.</w:t>
            </w:r>
          </w:p>
        </w:tc>
        <w:tc>
          <w:tcPr>
            <w:tcW w:w="3323" w:type="dxa"/>
          </w:tcPr>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формы, методы и инструменты прогнозирования бизнес-процессов</w:t>
            </w:r>
          </w:p>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выполнять выбор оптимальных форм, методов и инструментов прогнозирования бизнес-процессов</w:t>
            </w:r>
          </w:p>
        </w:tc>
      </w:tr>
      <w:tr w:rsidR="0024195A">
        <w:trPr>
          <w:trHeight w:val="58"/>
        </w:trPr>
        <w:tc>
          <w:tcPr>
            <w:tcW w:w="1550" w:type="dxa"/>
            <w:vMerge w:val="restart"/>
          </w:tcPr>
          <w:p w:rsidR="0024195A" w:rsidRDefault="003A638A">
            <w:pPr>
              <w:spacing w:after="0" w:line="240" w:lineRule="auto"/>
              <w:jc w:val="center"/>
              <w:rPr>
                <w:rFonts w:ascii="Times New Roman" w:eastAsia="Courier New" w:hAnsi="Times New Roman" w:cs="Times New Roman"/>
                <w:color w:val="000000"/>
                <w:sz w:val="25"/>
                <w:szCs w:val="25"/>
              </w:rPr>
            </w:pPr>
            <w:r>
              <w:rPr>
                <w:rFonts w:ascii="Times New Roman" w:eastAsia="Courier New" w:hAnsi="Times New Roman" w:cs="Times New Roman"/>
                <w:color w:val="000000"/>
                <w:sz w:val="25"/>
                <w:szCs w:val="25"/>
              </w:rPr>
              <w:t>ПК-4</w:t>
            </w:r>
          </w:p>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1957" w:type="dxa"/>
            <w:vMerge w:val="restart"/>
          </w:tcPr>
          <w:p w:rsidR="0024195A" w:rsidRDefault="003A638A">
            <w:pPr>
              <w:spacing w:after="0" w:line="240" w:lineRule="auto"/>
              <w:jc w:val="center"/>
              <w:rPr>
                <w:rFonts w:ascii="Times New Roman" w:hAnsi="Times New Roman" w:cs="Times New Roman"/>
                <w:sz w:val="24"/>
                <w:szCs w:val="24"/>
              </w:rPr>
            </w:pPr>
            <w:r>
              <w:rPr>
                <w:rFonts w:ascii="Times New Roman" w:hAnsi="Times New Roman"/>
                <w:sz w:val="24"/>
                <w:szCs w:val="24"/>
              </w:rPr>
              <w:t xml:space="preserve">Способность использовать современные технологии при разработке и принятии </w:t>
            </w:r>
            <w:r>
              <w:rPr>
                <w:rFonts w:ascii="Times New Roman" w:hAnsi="Times New Roman"/>
                <w:sz w:val="24"/>
                <w:szCs w:val="24"/>
              </w:rPr>
              <w:lastRenderedPageBreak/>
              <w:t>управленческих решений по реализации стратегии ведения бизнеса российскими и зарубежными энергетическими компаниями (ПК-4)</w:t>
            </w:r>
          </w:p>
        </w:tc>
        <w:tc>
          <w:tcPr>
            <w:tcW w:w="2524" w:type="dxa"/>
          </w:tcPr>
          <w:p w:rsidR="0024195A" w:rsidRDefault="003A638A">
            <w:pPr>
              <w:widowControl w:val="0"/>
              <w:tabs>
                <w:tab w:val="left" w:pos="514"/>
              </w:tabs>
              <w:spacing w:after="0" w:line="240" w:lineRule="auto"/>
              <w:jc w:val="both"/>
              <w:rPr>
                <w:rFonts w:ascii="Times New Roman" w:hAnsi="Times New Roman" w:cs="Times New Roman"/>
                <w:sz w:val="24"/>
                <w:szCs w:val="24"/>
              </w:rPr>
            </w:pPr>
            <w:r>
              <w:rPr>
                <w:rFonts w:ascii="Times New Roman" w:hAnsi="Times New Roman"/>
                <w:sz w:val="24"/>
                <w:szCs w:val="24"/>
              </w:rPr>
              <w:lastRenderedPageBreak/>
              <w:t xml:space="preserve">1.Разрабатывает предложения по развитию и оптимизации торговли энергетическими товарами, в том числе </w:t>
            </w:r>
            <w:r>
              <w:rPr>
                <w:rFonts w:ascii="Times New Roman" w:hAnsi="Times New Roman"/>
                <w:sz w:val="24"/>
                <w:szCs w:val="24"/>
              </w:rPr>
              <w:lastRenderedPageBreak/>
              <w:t>с использованием механизмов биржевой торговли</w:t>
            </w:r>
          </w:p>
        </w:tc>
        <w:tc>
          <w:tcPr>
            <w:tcW w:w="3323" w:type="dxa"/>
          </w:tcPr>
          <w:p w:rsidR="0024195A" w:rsidRDefault="003A638A">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lastRenderedPageBreak/>
              <w:t>Знать</w:t>
            </w:r>
            <w:r>
              <w:rPr>
                <w:rFonts w:ascii="Times New Roman" w:hAnsi="Times New Roman" w:cs="Times New Roman"/>
                <w:sz w:val="24"/>
                <w:szCs w:val="24"/>
              </w:rPr>
              <w:t xml:space="preserve"> методики формирования налоговой базы по налогам и сборам, уплачиваемым энергетическими компаниями</w:t>
            </w:r>
          </w:p>
          <w:p w:rsidR="0024195A" w:rsidRDefault="003A638A">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вырабатывать </w:t>
            </w:r>
            <w:r>
              <w:rPr>
                <w:rFonts w:ascii="Times New Roman" w:hAnsi="Times New Roman" w:cs="Times New Roman"/>
                <w:sz w:val="24"/>
                <w:szCs w:val="24"/>
              </w:rPr>
              <w:lastRenderedPageBreak/>
              <w:t>предложения по формированию налоговой и финансовой корпоративной политики энергетических компаний, осуществляющих внешнеэкономическую деятельность</w:t>
            </w:r>
          </w:p>
        </w:tc>
      </w:tr>
      <w:tr w:rsidR="0024195A">
        <w:trPr>
          <w:trHeight w:val="848"/>
        </w:trPr>
        <w:tc>
          <w:tcPr>
            <w:tcW w:w="1550"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1957"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2524" w:type="dxa"/>
          </w:tcPr>
          <w:p w:rsidR="0024195A" w:rsidRDefault="003A638A">
            <w:pPr>
              <w:widowControl w:val="0"/>
              <w:tabs>
                <w:tab w:val="left" w:pos="763"/>
              </w:tabs>
              <w:spacing w:after="0" w:line="240" w:lineRule="auto"/>
              <w:jc w:val="both"/>
              <w:rPr>
                <w:rFonts w:ascii="Times New Roman" w:hAnsi="Times New Roman" w:cs="Times New Roman"/>
                <w:sz w:val="24"/>
                <w:szCs w:val="24"/>
              </w:rPr>
            </w:pPr>
            <w:r>
              <w:rPr>
                <w:rFonts w:ascii="Times New Roman" w:hAnsi="Times New Roman"/>
                <w:sz w:val="24"/>
                <w:szCs w:val="24"/>
              </w:rPr>
              <w:t>2.Создает и модифицирует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особенностей компаний, условий функционирования отрасли, международных и национальных тенденций развития энергетической деятельности</w:t>
            </w:r>
          </w:p>
        </w:tc>
        <w:tc>
          <w:tcPr>
            <w:tcW w:w="3323" w:type="dxa"/>
          </w:tcPr>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особенности налогового планирования деятельности энергетических компаний с учетом развития условий функционирования отрасли</w:t>
            </w:r>
          </w:p>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учитывать налоговый фактор при формировании стратегии ведения бизнеса российскими и зарубежными энергетическими компаниями с учетом национальной налоговой политики и международных тенденций в налогообложении</w:t>
            </w:r>
          </w:p>
        </w:tc>
      </w:tr>
    </w:tbl>
    <w:p w:rsidR="0024195A" w:rsidRDefault="003A638A">
      <w:pPr>
        <w:pStyle w:val="1"/>
      </w:pPr>
      <w:bookmarkStart w:id="5" w:name="_Toc11051326"/>
      <w:bookmarkStart w:id="6" w:name="_Toc6820733"/>
      <w:r>
        <w:t>3. Место дисциплины в структуре образовательной программы</w:t>
      </w:r>
      <w:bookmarkEnd w:id="5"/>
      <w:bookmarkEnd w:id="6"/>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«Налоговое планирование в энергетических компаниях (на английском языке)» является </w:t>
      </w:r>
      <w:r>
        <w:rPr>
          <w:rFonts w:ascii="Times New Roman" w:eastAsia="Times New Roman" w:hAnsi="Times New Roman" w:cs="Times New Roman"/>
          <w:sz w:val="28"/>
          <w:szCs w:val="28"/>
        </w:rPr>
        <w:t>дисциплиной модуля направленности программы магистратуры</w:t>
      </w:r>
      <w:r>
        <w:rPr>
          <w:rFonts w:ascii="Times New Roman" w:hAnsi="Times New Roman" w:cs="Times New Roman"/>
          <w:sz w:val="28"/>
          <w:szCs w:val="28"/>
        </w:rPr>
        <w:t>, для студентов, обучающихся по направлению подготовки 38.04.01 «Экономика», направленность программы «</w:t>
      </w:r>
      <w:r>
        <w:rPr>
          <w:rFonts w:ascii="Times New Roman" w:eastAsia="Times New Roman" w:hAnsi="Times New Roman" w:cs="Times New Roman"/>
          <w:sz w:val="28"/>
          <w:szCs w:val="28"/>
        </w:rPr>
        <w:t xml:space="preserve">Международный энергетический бизнес (с частичной реализацией на английском языке)» </w:t>
      </w:r>
      <w:r>
        <w:rPr>
          <w:rFonts w:ascii="Times New Roman" w:hAnsi="Times New Roman" w:cs="Times New Roman"/>
          <w:sz w:val="28"/>
          <w:szCs w:val="28"/>
        </w:rPr>
        <w:t>очная форма обучения.</w:t>
      </w:r>
    </w:p>
    <w:p w:rsidR="0024195A" w:rsidRDefault="003A638A">
      <w:pPr>
        <w:jc w:val="both"/>
        <w:rPr>
          <w:rFonts w:ascii="Times New Roman" w:hAnsi="Times New Roman" w:cs="Times New Roman"/>
          <w:sz w:val="28"/>
          <w:szCs w:val="28"/>
        </w:rPr>
      </w:pPr>
      <w:r>
        <w:rPr>
          <w:rFonts w:ascii="Times New Roman" w:hAnsi="Times New Roman" w:cs="Times New Roman"/>
          <w:sz w:val="28"/>
          <w:szCs w:val="28"/>
        </w:rPr>
        <w:t xml:space="preserve">Дисциплина изучается для углубления профессиональной направленности знаний в сфере управления рисками энергетического бизнеса, при принятии стратегических и оперативных решений в процессе управления. Содержание дисциплины базируется на знаниях, полученных студентами в процессе изучения дисциплин «Финансовые и денежно-кредитные методы регулирования экономики». Дисциплина «Налоговое планирование в энергетических компаниях (на английском языке)» способствует формированию комплексных знаний и навыков в области национального и международного налогообложения, интегрированию знаний по проблемам </w:t>
      </w:r>
      <w:r>
        <w:rPr>
          <w:rFonts w:ascii="Times New Roman" w:hAnsi="Times New Roman" w:cs="Times New Roman"/>
          <w:sz w:val="28"/>
          <w:szCs w:val="28"/>
        </w:rPr>
        <w:lastRenderedPageBreak/>
        <w:t>налогообложения при изучении обязательных финансово-экономических дисциплин.</w:t>
      </w:r>
    </w:p>
    <w:p w:rsidR="0024195A" w:rsidRDefault="003A638A">
      <w:pPr>
        <w:pStyle w:val="1"/>
      </w:pPr>
      <w:bookmarkStart w:id="7" w:name="_Toc11051327"/>
      <w:bookmarkStart w:id="8" w:name="_Toc6820734"/>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t xml:space="preserve"> </w:t>
      </w:r>
    </w:p>
    <w:tbl>
      <w:tblPr>
        <w:tblW w:w="5000" w:type="pct"/>
        <w:jc w:val="center"/>
        <w:tblLayout w:type="fixed"/>
        <w:tblLook w:val="04A0" w:firstRow="1" w:lastRow="0" w:firstColumn="1" w:lastColumn="0" w:noHBand="0" w:noVBand="1"/>
      </w:tblPr>
      <w:tblGrid>
        <w:gridCol w:w="6391"/>
        <w:gridCol w:w="1591"/>
        <w:gridCol w:w="1589"/>
      </w:tblGrid>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работы по дисциплине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з/е и часах)</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Модуль 5</w:t>
            </w:r>
          </w:p>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Общая трудоемкость дисциплины</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 xml:space="preserve">3 з.е. / </w:t>
            </w:r>
            <w:r>
              <w:rPr>
                <w:rFonts w:ascii="Times New Roman" w:eastAsia="Times New Roman" w:hAnsi="Times New Roman" w:cs="Times New Roman"/>
                <w:b/>
                <w:i/>
                <w:sz w:val="24"/>
                <w:szCs w:val="24"/>
                <w:lang w:val="en-US"/>
              </w:rPr>
              <w:t>108</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lang w:val="en-US"/>
              </w:rPr>
              <w:t>108</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Контактная работа - Аудиторные занятия</w:t>
            </w:r>
          </w:p>
        </w:tc>
        <w:tc>
          <w:tcPr>
            <w:tcW w:w="1555"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40</w:t>
            </w:r>
          </w:p>
        </w:tc>
        <w:tc>
          <w:tcPr>
            <w:tcW w:w="155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40</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Лекции</w:t>
            </w:r>
          </w:p>
        </w:tc>
        <w:tc>
          <w:tcPr>
            <w:tcW w:w="1555"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55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Семинары, практические занятия</w:t>
            </w:r>
          </w:p>
        </w:tc>
        <w:tc>
          <w:tcPr>
            <w:tcW w:w="1555"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55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Самостоятельная работа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68</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68</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 текущего контроля</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Эссе</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Эссе</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 промежуточной аттестации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Экзамен</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Экзамен</w:t>
            </w:r>
          </w:p>
        </w:tc>
      </w:tr>
    </w:tbl>
    <w:p w:rsidR="0024195A" w:rsidRDefault="003A638A">
      <w:pPr>
        <w:pStyle w:val="1"/>
      </w:pPr>
      <w:bookmarkStart w:id="9" w:name="_Toc11051328"/>
      <w:bookmarkStart w:id="10" w:name="_Toc682073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24195A" w:rsidRDefault="003A638A">
      <w:pPr>
        <w:pStyle w:val="2"/>
        <w:spacing w:before="280" w:after="280"/>
        <w:rPr>
          <w:color w:val="000000" w:themeColor="text1"/>
        </w:rPr>
      </w:pPr>
      <w:bookmarkStart w:id="11" w:name="_Toc11051329"/>
      <w:bookmarkStart w:id="12" w:name="_Toc6820736"/>
      <w:r>
        <w:rPr>
          <w:color w:val="000000" w:themeColor="text1"/>
        </w:rPr>
        <w:t>5.1. Содержание дисциплины</w:t>
      </w:r>
      <w:bookmarkEnd w:id="11"/>
      <w:bookmarkEnd w:id="12"/>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Раздел 1. Основы налогового планирования энергетических компаний в России.</w:t>
      </w:r>
    </w:p>
    <w:p w:rsidR="0024195A" w:rsidRDefault="0024195A">
      <w:pPr>
        <w:spacing w:after="0" w:line="240" w:lineRule="auto"/>
        <w:jc w:val="both"/>
        <w:rPr>
          <w:rFonts w:ascii="Times New Roman" w:eastAsia="Times New Roman" w:hAnsi="Times New Roman" w:cs="Times New Roman"/>
          <w:b/>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1. Основные направления государственного регулирования энергетического сектора.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Российские транснациональные корпорации энергетического сектора, включая атомную энергетику, гидроэнергетику, газовая электроэнергетика и топливную энергетику, теплоэнергетику, водородная энергетика, энергетику на основе использования возобновляемых источников энергии (ветропарки, солнечные электростанции, гидроэлектростанции и гидроаккумулирующие электростанции и др.), а также транспортно-логистической инфраструктуры.</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Роль энергетических компаний в формировании доходов бюджетов бюджетной системы Российской Федерации. Факторы, определяющие структуру налоговой нагрузки энергетических компаний в России и за рубежом.</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направления налоговой политики в регулировании энергетического сектора. Экономическая и налоговая политика интеграционных объединений и международных организаций в регулировании энергетического сектора.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Государственное регулирование выброса углекислых газов, торговля квотами.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lastRenderedPageBreak/>
        <w:t>Роль соглашений о свободной торговле и таможенных союзов в развитии энергетического сектора.</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2. Налогообложение энергетических компаний в России</w:t>
      </w:r>
    </w:p>
    <w:p w:rsidR="0024195A" w:rsidRDefault="003A638A">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rPr>
        <w:t xml:space="preserve">Налог на добавленную стоимость. Особенности определения налоговой базы в энергетических компаниях.  Исчисление и уплата НДС энергетическими компаниями при осуществлении внутренних и внешнеторговых операций. Особенности определения места реализации услуг на континентальном шельфе, в экономической зоне Российской Федерации; при транспортировке энергоресурсов; при осуществлении НИОКР, оказании инжиниринговых услуг. Особенности взимания НДС при вывозе российской организацией запасов, товаров в свое </w:t>
      </w:r>
      <w:r>
        <w:rPr>
          <w:rFonts w:ascii="Times New Roman" w:hAnsi="Times New Roman" w:cs="Times New Roman"/>
          <w:sz w:val="28"/>
          <w:szCs w:val="28"/>
        </w:rPr>
        <w:t>обособленное подразделение, находящееся за пределами таможенной территории ЕАЭС.</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 Условия применения налоговой ставка 0% по НДС по транспортировке энергоресурсов. Освобождение от НДС операций, по реализации теплоэнергии, электроэнергии.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 на прибыль организаций. Особенности формирования расходов энергетических компаний. Расходы по научно-исследовательским и опытно-конструкторским разработкам. Расходы, связанные с геолого-разведочными работами и разработкой месторождений. Учет расходов при технологических потерях энергоресурсов, снижении показателей качества энергоресурсов. Особенности признания расходов по строительству путепроводов для транспортировки энергоресурсов. Особенности налогообложение доходов от владения и использования нематериальных активов в энергетическом секторе, в том числе приобретения лицензий на разработку месторождений.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Налоговые льготы, направленные на пространственное и региональное развитие в сфере разработки, производства, транспортировки и хранения энергоресурсов. Стимулирование ресурсосберегающей энергетики.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Трансфертное ценообразование по операциям энергетических компаний. Особенности трансфертного ценообразования по товарам биржевой торговли.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Расходы энергетических компаний по охране труда, социальному обеспечению и страхованию.</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Налогообложение имущества энергетических компаний. Проблема классификации имущества в качестве недвижимого для целей налогообложения. Признаки недвижимого имущества, установленные нормативно-правовыми актами и сформулированные судебной практикой. Условия применения налоговой ставки 0% по налогу на имущество организаций.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Налоговое стимулирование защиты окружающей среды, рационального природопользования и перехода к низкоулгеродному развитию экономики. Экологические налоги.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налогообложения участников соглашения о разделе продукции. Соглашения о разделе затрат.</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lastRenderedPageBreak/>
        <w:t>Налогообложение энергетических компаний за рубежом в нефтегазовом секторе, в секторе возобновляемых источников энергии.</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3. Корпоративное налоговое планирование</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Корпоративное планирование в налогообложении как функция управления финансами: содержание и связь с другими звеньями управления.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Консультационное обслуживание налогоплательщиков по вопросам налогового планирования. Взаимодействие организаций-налогоплательщиков со структурами налогового консультирования.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Информационное обеспечение налогового планирования: понятие, состав, способы формирования. Этапы и сроки налогового планирования.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Влияние налогов на финансовый результат деятельности организаций. Показатели результативности налогового планирования организации. Инструмент эффективной налоговой ставки, порядок расчета. Применение инструмента эффективной налоговой ставки в целях налогообложения и налогового администрирования деятельности транснациональных компаний.</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Раздел 2. Основы международного налогового планирования в энергетических компаниях</w:t>
      </w: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4. Базовые концепции международного налогообложения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Налоговый суверенитет и налоговая юрисдикция государства. Ограничение прав на взимание налогов. Реализация налоговой юрисдикции: источник возникновения дохода, налогооблагаемое присутствие. Конкуренция налоговых систем. Понятие и признаки недобросовестной конкуренции налоговых систем.</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Принципы международного налогообложения: принципы территориальности и резидентства. Конфликт резидентства и источника дохода. Противоречия критериев налогового резидентства. Налоговые последствия смены налогового резидентства.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Феномен международного многократного налогообложения. Многократное юридическое и экономическое налогообложение. Методы устранения двойного юридического и экономического налогообложения, их ограничения.</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5. Международное налогообложение в России.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Налогообложение операций с участием иностранного элемента. Концепция налогового резидентства организаций в Налоговом кодексе Российской Федерации. Редомициляция: понятие, механизм. Редомициляция в </w:t>
      </w:r>
      <w:r>
        <w:rPr>
          <w:rFonts w:ascii="Times New Roman" w:eastAsia="Times New Roman" w:hAnsi="Times New Roman" w:cs="Times New Roman"/>
          <w:color w:val="000000" w:themeColor="text1"/>
          <w:sz w:val="28"/>
        </w:rPr>
        <w:lastRenderedPageBreak/>
        <w:t xml:space="preserve">российские САР. Особенности признания налоговым резидентом иностранной организации.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Постоянное представительство иностранной организации: понятие, критерии возникновения. Виды постоянных представительств: основной, агентский. Постоянное представительство сервисного типа. Постоянное представительство строительного типа. Особенности определения налогового статуса подразделений иностранной организации при осуществлении разработки месторождений полезных ископаемых, в том числе при привлечении субподрядчиков.</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Методика распределения доходов и расходов (убытков) между иностранной организацией и её постоянным представительством для целей налогообложения.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Налогообложение доходов и имущества российских энергетических компаний, осуществляющих деятельность за рубежом. Порядок определения налоговой базы по налогу на прибыль российских организаций, осуществляющих деятельность за рубежом, в том числе и имеющих зарубежные постоянные представительства, представительства, филиалы. Зарубежные доходы и расходы, не учитываемые для целей налогообложения в Российской Федерации. </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6. Налогообложение пассивных доходов энергетических компаний.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налогообложения доходов иностранной организации от долевого участия. Налогообложение доходов иностранной организации от участия в инвестиционном товариществе. Налогообложение процентных доходов иностранной организации. Налогообложение доходов иностранной организации, выплаченных постоянным представительством другой иностранной организации. Налогообложение доходов простого товарищества и его участников. Налогообложение операций с производными финансовыми инструментами и операций хеджирования. Особенности налогообложения еврооблигаций.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Налогообложение доходов российской организации от долевого участия, долгового финансирования. Особенности применения налоговой ставки 0% по налогу на прибыль организаций в отношении дивидендов, полученных российской организацией от зарубежных источников. Устранение двойного налогообложения организаций, предусмотренное положениями Налогового кодекса Российской Федерации.</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7. Международные налоговые соглашения в налоговом планировании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Международные налоговые соглашения. Виды соглашений. Международные соглашения по вопросам налогообложения. Взаимодействие национального законодательства и международных соглашений. Особенности применения модельных налоговых конвенций с учетом Венской конвенции о праве международных договоров. Правовой статус модельных конвенций, </w:t>
      </w:r>
      <w:r>
        <w:rPr>
          <w:rFonts w:ascii="Times New Roman" w:eastAsia="Times New Roman" w:hAnsi="Times New Roman" w:cs="Times New Roman"/>
          <w:color w:val="000000" w:themeColor="text1"/>
          <w:sz w:val="28"/>
        </w:rPr>
        <w:lastRenderedPageBreak/>
        <w:t>комментариев к модельным конвенциям, разъяснений фискальных органов. Цель и задачи международных налоговых соглашений. Структура международного налогового соглашения на примере МНК ОЭСР.</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Применение международных налоговых соглашений при разработке месторождений, производстве энергетических ресурсов, транспортировке природных ресурсов и энергетических продуктов. </w:t>
      </w:r>
      <w:r w:rsidRPr="00F40CA6">
        <w:rPr>
          <w:rFonts w:ascii="Times New Roman" w:eastAsia="Times New Roman" w:hAnsi="Times New Roman" w:cs="Times New Roman"/>
          <w:color w:val="000000" w:themeColor="text1"/>
          <w:sz w:val="28"/>
        </w:rPr>
        <w:t xml:space="preserve">Налогообложение  </w:t>
      </w:r>
      <w:r>
        <w:rPr>
          <w:rFonts w:ascii="Times New Roman" w:eastAsia="Times New Roman" w:hAnsi="Times New Roman" w:cs="Times New Roman"/>
          <w:color w:val="000000" w:themeColor="text1"/>
          <w:sz w:val="28"/>
        </w:rPr>
        <w:t>международных перевозок энергетических ресурсов. Морские перевозки. Трубопроводы.</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распределения доходов и расходов постоянного представительства и головной компании. Взаимодействие национальных правил трансфертного ценообразования и международных налоговых соглашений.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подходы международных налоговых соглашений к налогообложению пассивных доходов и капитала.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Последствия приостановления, расторжения международных налоговых соглашений.</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8. Развитие международного налогового администрирования.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Направления международного взаимодействия налоговых органов. Обмен информацией, помощь в сборе налогов.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Трансформация национального и международного налогообложения под действием Плана противодействия размыванию налоговой базы и выводу капитала (</w:t>
      </w:r>
      <w:r>
        <w:rPr>
          <w:rFonts w:ascii="Times New Roman" w:eastAsia="Times New Roman" w:hAnsi="Times New Roman" w:cs="Times New Roman"/>
          <w:color w:val="000000" w:themeColor="text1"/>
          <w:sz w:val="28"/>
          <w:lang w:val="en-US"/>
        </w:rPr>
        <w:t>BEPS</w:t>
      </w:r>
      <w:r>
        <w:rPr>
          <w:rFonts w:ascii="Times New Roman" w:eastAsia="Times New Roman" w:hAnsi="Times New Roman" w:cs="Times New Roman"/>
          <w:color w:val="000000" w:themeColor="text1"/>
          <w:sz w:val="28"/>
        </w:rPr>
        <w:t xml:space="preserve">).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Холдинговые компании ТНК энергетического сектора. Роль концепции КИК в налоговом регулировании ТНК энергетического сектора.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Низконалоговые юрисдикции и особенности их налоговых режимов. Меры противодействия недобросовестной налоговой конкуренции. Развитие концепции существенного экономического присутствия.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Противодействие недобросовестному применению налоговых льгот, предусмотренных международными налоговыми соглашениями. Реализация двух компонентной инициативы </w:t>
      </w:r>
      <w:r>
        <w:rPr>
          <w:rFonts w:ascii="Times New Roman" w:eastAsia="Times New Roman" w:hAnsi="Times New Roman" w:cs="Times New Roman"/>
          <w:color w:val="000000" w:themeColor="text1"/>
          <w:sz w:val="28"/>
          <w:lang w:val="en-US"/>
        </w:rPr>
        <w:t>Pillar</w:t>
      </w:r>
      <w:r>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lang w:val="en-US"/>
        </w:rPr>
        <w:t>One</w:t>
      </w:r>
      <w:r>
        <w:rPr>
          <w:rFonts w:ascii="Times New Roman" w:eastAsia="Times New Roman" w:hAnsi="Times New Roman" w:cs="Times New Roman"/>
          <w:color w:val="000000" w:themeColor="text1"/>
          <w:sz w:val="28"/>
        </w:rPr>
        <w:t xml:space="preserve"> , </w:t>
      </w:r>
      <w:r>
        <w:rPr>
          <w:rFonts w:ascii="Times New Roman" w:eastAsia="Times New Roman" w:hAnsi="Times New Roman" w:cs="Times New Roman"/>
          <w:color w:val="000000" w:themeColor="text1"/>
          <w:sz w:val="28"/>
          <w:lang w:val="en-US"/>
        </w:rPr>
        <w:t>Pillar</w:t>
      </w:r>
      <w:r>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lang w:val="en-US"/>
        </w:rPr>
        <w:t>Two</w:t>
      </w:r>
      <w:r>
        <w:rPr>
          <w:rFonts w:ascii="Times New Roman" w:eastAsia="Times New Roman" w:hAnsi="Times New Roman" w:cs="Times New Roman"/>
          <w:color w:val="000000" w:themeColor="text1"/>
          <w:sz w:val="28"/>
        </w:rPr>
        <w:t>. Налоговые последствия внедрения минимального глобального налога для российских организаций.</w:t>
      </w:r>
    </w:p>
    <w:p w:rsidR="0024195A" w:rsidRDefault="003A638A">
      <w:pPr>
        <w:pStyle w:val="2"/>
        <w:spacing w:before="280" w:after="280"/>
      </w:pPr>
      <w:bookmarkStart w:id="13" w:name="_Hlk88085416"/>
      <w:bookmarkStart w:id="14" w:name="_Toc11051330"/>
      <w:bookmarkStart w:id="15" w:name="_Toc6820737"/>
      <w:bookmarkEnd w:id="13"/>
      <w:r>
        <w:t>5.2. Учебно – тематический план</w:t>
      </w:r>
      <w:bookmarkEnd w:id="14"/>
      <w:bookmarkEnd w:id="15"/>
    </w:p>
    <w:tbl>
      <w:tblPr>
        <w:tblW w:w="5000" w:type="pct"/>
        <w:tblLayout w:type="fixed"/>
        <w:tblLook w:val="04A0" w:firstRow="1" w:lastRow="0" w:firstColumn="1" w:lastColumn="0" w:noHBand="0" w:noVBand="1"/>
      </w:tblPr>
      <w:tblGrid>
        <w:gridCol w:w="438"/>
        <w:gridCol w:w="2456"/>
        <w:gridCol w:w="719"/>
        <w:gridCol w:w="1000"/>
        <w:gridCol w:w="1145"/>
        <w:gridCol w:w="965"/>
        <w:gridCol w:w="892"/>
        <w:gridCol w:w="1956"/>
      </w:tblGrid>
      <w:tr w:rsidR="0024195A">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пп/п</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тем (разделов) дисциплины</w:t>
            </w:r>
          </w:p>
        </w:tc>
        <w:tc>
          <w:tcPr>
            <w:tcW w:w="4614" w:type="dxa"/>
            <w:gridSpan w:val="5"/>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Трудоемкость в часах</w:t>
            </w:r>
          </w:p>
        </w:tc>
        <w:tc>
          <w:tcPr>
            <w:tcW w:w="19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текущего контроля успеваемости</w:t>
            </w:r>
          </w:p>
        </w:tc>
      </w:tr>
      <w:tr w:rsidR="0024195A">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7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3039" w:type="dxa"/>
            <w:gridSpan w:val="3"/>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Контактная работа - Аудиторная работа</w:t>
            </w:r>
          </w:p>
        </w:tc>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w:t>
            </w:r>
          </w:p>
        </w:tc>
        <w:tc>
          <w:tcPr>
            <w:tcW w:w="1912"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r>
      <w:tr w:rsidR="0024195A">
        <w:trPr>
          <w:trHeight w:val="1473"/>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703"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 в т.ч.:</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Семинары, практические занятия</w:t>
            </w:r>
          </w:p>
        </w:tc>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1912"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1.</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tabs>
                <w:tab w:val="right" w:pos="851"/>
              </w:tabs>
              <w:jc w:val="both"/>
              <w:rPr>
                <w:rFonts w:ascii="Times New Roman" w:eastAsia="Times New Roman" w:hAnsi="Times New Roman" w:cs="Times New Roman"/>
                <w:color w:val="222222"/>
                <w:szCs w:val="20"/>
              </w:rPr>
            </w:pPr>
            <w:r>
              <w:rPr>
                <w:rFonts w:ascii="Times New Roman" w:eastAsia="Times New Roman" w:hAnsi="Times New Roman" w:cs="Times New Roman"/>
                <w:color w:val="222222"/>
                <w:szCs w:val="20"/>
              </w:rPr>
              <w:t xml:space="preserve">Тема 1. Основные </w:t>
            </w:r>
            <w:r>
              <w:rPr>
                <w:rFonts w:ascii="Times New Roman" w:eastAsia="Times New Roman" w:hAnsi="Times New Roman" w:cs="Times New Roman"/>
                <w:color w:val="222222"/>
                <w:szCs w:val="20"/>
              </w:rPr>
              <w:lastRenderedPageBreak/>
              <w:t>направления государственного регулирования энергетического сектора.</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 xml:space="preserve">Обсуждение </w:t>
            </w:r>
            <w:r>
              <w:rPr>
                <w:rFonts w:ascii="Times New Roman" w:hAnsi="Times New Roman" w:cs="Times New Roman"/>
              </w:rPr>
              <w:lastRenderedPageBreak/>
              <w:t>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lastRenderedPageBreak/>
              <w:t>2.</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eastAsia="Times New Roman" w:hAnsi="Times New Roman" w:cs="Times New Roman"/>
                <w:color w:val="222222"/>
                <w:szCs w:val="20"/>
              </w:rPr>
              <w:t>Тема 2. Налогообложение энергетических копаний в России</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3.</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eastAsia="Times New Roman" w:hAnsi="Times New Roman" w:cs="Times New Roman"/>
                <w:color w:val="222222"/>
                <w:szCs w:val="20"/>
              </w:rPr>
              <w:t>Тема 3.Организация корпоративного налогового планирования</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4.</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hAnsi="Times New Roman" w:cs="Times New Roman"/>
                <w:szCs w:val="20"/>
              </w:rPr>
              <w:t>Тема 4. Базовые концепции международного налогообложения</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5.</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hAnsi="Times New Roman" w:cs="Times New Roman"/>
                <w:szCs w:val="20"/>
              </w:rPr>
              <w:t>Тема 5. Международное налогообложение в России</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lang w:eastAsia="en-US"/>
              </w:rPr>
            </w:pPr>
            <w:r>
              <w:rPr>
                <w:rFonts w:ascii="Times New Roman" w:hAnsi="Times New Roman" w:cs="Times New Roman"/>
                <w:szCs w:val="20"/>
              </w:rPr>
              <w:t>Тема 6. Налогообложение пассивных доходов энергетических компаний.</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lang w:eastAsia="en-US"/>
              </w:rPr>
            </w:pPr>
            <w:r>
              <w:rPr>
                <w:rFonts w:ascii="Times New Roman" w:hAnsi="Times New Roman" w:cs="Times New Roman"/>
                <w:szCs w:val="20"/>
              </w:rPr>
              <w:t>Тема 7. Международные налоговые соглашения в налоговом планировании</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lang w:eastAsia="en-US"/>
              </w:rPr>
            </w:pPr>
            <w:r>
              <w:rPr>
                <w:rFonts w:ascii="Times New Roman" w:hAnsi="Times New Roman" w:cs="Times New Roman"/>
                <w:szCs w:val="20"/>
              </w:rPr>
              <w:t>Тема 8. Развитие международного налогового администрирования.</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6</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703" w:type="dxa"/>
            <w:tcBorders>
              <w:top w:val="single" w:sz="4" w:space="0" w:color="000000"/>
              <w:left w:val="single" w:sz="4" w:space="0" w:color="000000"/>
              <w:bottom w:val="single" w:sz="4" w:space="0" w:color="000000"/>
              <w:right w:val="single" w:sz="4" w:space="0" w:color="000000"/>
            </w:tcBorders>
          </w:tcPr>
          <w:p w:rsidR="0024195A" w:rsidRPr="000E55E3" w:rsidRDefault="003A638A">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hAnsi="Times New Roman" w:cs="Times New Roman"/>
                <w:b/>
              </w:rPr>
              <w:fldChar w:fldCharType="begin"/>
            </w:r>
            <w:r w:rsidRPr="000E55E3">
              <w:rPr>
                <w:rFonts w:ascii="Times New Roman" w:hAnsi="Times New Roman" w:cs="Times New Roman"/>
                <w:b/>
              </w:rPr>
              <w:instrText xml:space="preserve"> =SUM(ABOVE)</w:instrText>
            </w:r>
            <w:r w:rsidRPr="000E55E3">
              <w:rPr>
                <w:rFonts w:ascii="Times New Roman" w:hAnsi="Times New Roman" w:cs="Times New Roman"/>
                <w:b/>
              </w:rPr>
              <w:fldChar w:fldCharType="separate"/>
            </w:r>
            <w:r w:rsidRPr="000E55E3">
              <w:rPr>
                <w:rFonts w:ascii="Times New Roman" w:hAnsi="Times New Roman" w:cs="Times New Roman"/>
                <w:b/>
              </w:rPr>
              <w:t>108</w:t>
            </w:r>
            <w:r w:rsidRPr="000E55E3">
              <w:rPr>
                <w:rFonts w:ascii="Times New Roman" w:hAnsi="Times New Roman" w:cs="Times New Roman"/>
                <w:b/>
              </w:rPr>
              <w:fldChar w:fldCharType="end"/>
            </w:r>
          </w:p>
        </w:tc>
        <w:tc>
          <w:tcPr>
            <w:tcW w:w="977" w:type="dxa"/>
            <w:tcBorders>
              <w:top w:val="single" w:sz="4" w:space="0" w:color="000000"/>
              <w:left w:val="single" w:sz="4" w:space="0" w:color="000000"/>
              <w:bottom w:val="single" w:sz="4" w:space="0" w:color="000000"/>
              <w:right w:val="single" w:sz="4" w:space="0" w:color="000000"/>
            </w:tcBorders>
          </w:tcPr>
          <w:p w:rsidR="0024195A" w:rsidRPr="000E55E3" w:rsidRDefault="003A638A">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hAnsi="Times New Roman" w:cs="Times New Roman"/>
                <w:b/>
              </w:rPr>
              <w:fldChar w:fldCharType="begin"/>
            </w:r>
            <w:r w:rsidRPr="000E55E3">
              <w:rPr>
                <w:rFonts w:ascii="Times New Roman" w:hAnsi="Times New Roman" w:cs="Times New Roman"/>
                <w:b/>
              </w:rPr>
              <w:instrText xml:space="preserve"> =SUM(ABOVE)</w:instrText>
            </w:r>
            <w:r w:rsidRPr="000E55E3">
              <w:rPr>
                <w:rFonts w:ascii="Times New Roman" w:hAnsi="Times New Roman" w:cs="Times New Roman"/>
                <w:b/>
              </w:rPr>
              <w:fldChar w:fldCharType="separate"/>
            </w:r>
            <w:r w:rsidRPr="000E55E3">
              <w:rPr>
                <w:rFonts w:ascii="Times New Roman" w:hAnsi="Times New Roman" w:cs="Times New Roman"/>
                <w:b/>
              </w:rPr>
              <w:t>40</w:t>
            </w:r>
            <w:r w:rsidRPr="000E55E3">
              <w:rPr>
                <w:rFonts w:ascii="Times New Roman" w:hAnsi="Times New Roman" w:cs="Times New Roman"/>
                <w:b/>
              </w:rPr>
              <w:fldChar w:fldCharType="end"/>
            </w:r>
          </w:p>
        </w:tc>
        <w:tc>
          <w:tcPr>
            <w:tcW w:w="1119" w:type="dxa"/>
            <w:tcBorders>
              <w:top w:val="single" w:sz="4" w:space="0" w:color="000000"/>
              <w:left w:val="single" w:sz="4" w:space="0" w:color="000000"/>
              <w:bottom w:val="single" w:sz="4" w:space="0" w:color="000000"/>
              <w:right w:val="single" w:sz="4" w:space="0" w:color="000000"/>
            </w:tcBorders>
          </w:tcPr>
          <w:p w:rsidR="0024195A" w:rsidRPr="000E55E3" w:rsidRDefault="003A638A">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hAnsi="Times New Roman" w:cs="Times New Roman"/>
                <w:b/>
              </w:rPr>
              <w:fldChar w:fldCharType="begin"/>
            </w:r>
            <w:r w:rsidRPr="000E55E3">
              <w:rPr>
                <w:rFonts w:ascii="Times New Roman" w:hAnsi="Times New Roman" w:cs="Times New Roman"/>
                <w:b/>
              </w:rPr>
              <w:instrText xml:space="preserve"> =SUM(ABOVE)</w:instrText>
            </w:r>
            <w:r w:rsidRPr="000E55E3">
              <w:rPr>
                <w:rFonts w:ascii="Times New Roman" w:hAnsi="Times New Roman" w:cs="Times New Roman"/>
                <w:b/>
              </w:rPr>
              <w:fldChar w:fldCharType="separate"/>
            </w:r>
            <w:r w:rsidRPr="000E55E3">
              <w:rPr>
                <w:rFonts w:ascii="Times New Roman" w:hAnsi="Times New Roman" w:cs="Times New Roman"/>
                <w:b/>
              </w:rPr>
              <w:t>10</w:t>
            </w:r>
            <w:r w:rsidRPr="000E55E3">
              <w:rPr>
                <w:rFonts w:ascii="Times New Roman" w:hAnsi="Times New Roman" w:cs="Times New Roman"/>
                <w:b/>
              </w:rPr>
              <w:fldChar w:fldCharType="end"/>
            </w:r>
          </w:p>
        </w:tc>
        <w:tc>
          <w:tcPr>
            <w:tcW w:w="943" w:type="dxa"/>
            <w:tcBorders>
              <w:top w:val="single" w:sz="4" w:space="0" w:color="000000"/>
              <w:left w:val="single" w:sz="4" w:space="0" w:color="000000"/>
              <w:bottom w:val="single" w:sz="4" w:space="0" w:color="000000"/>
              <w:right w:val="single" w:sz="4" w:space="0" w:color="000000"/>
            </w:tcBorders>
          </w:tcPr>
          <w:p w:rsidR="0024195A" w:rsidRPr="000E55E3" w:rsidRDefault="003A638A" w:rsidP="000E55E3">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eastAsia="Times New Roman" w:hAnsi="Times New Roman" w:cs="Times New Roman"/>
                <w:b/>
                <w:color w:val="000000" w:themeColor="text1"/>
                <w:sz w:val="24"/>
                <w:szCs w:val="24"/>
                <w:lang w:eastAsia="en-US"/>
              </w:rPr>
              <w:fldChar w:fldCharType="begin"/>
            </w:r>
            <w:r w:rsidRPr="000E55E3">
              <w:rPr>
                <w:rFonts w:ascii="Times New Roman" w:eastAsia="Times New Roman" w:hAnsi="Times New Roman" w:cs="Times New Roman"/>
                <w:b/>
                <w:color w:val="000000" w:themeColor="text1"/>
                <w:sz w:val="24"/>
                <w:szCs w:val="24"/>
                <w:lang w:eastAsia="en-US"/>
              </w:rPr>
              <w:instrText xml:space="preserve"> =SUM(ABOVE)</w:instrText>
            </w:r>
            <w:r w:rsidRPr="000E55E3">
              <w:rPr>
                <w:rFonts w:ascii="Times New Roman" w:eastAsia="Times New Roman" w:hAnsi="Times New Roman" w:cs="Times New Roman"/>
                <w:b/>
                <w:color w:val="000000" w:themeColor="text1"/>
                <w:sz w:val="24"/>
                <w:szCs w:val="24"/>
                <w:lang w:eastAsia="en-US"/>
              </w:rPr>
              <w:fldChar w:fldCharType="separate"/>
            </w:r>
            <w:r w:rsidRPr="000E55E3">
              <w:rPr>
                <w:rFonts w:ascii="Times New Roman" w:eastAsia="Times New Roman" w:hAnsi="Times New Roman" w:cs="Times New Roman"/>
                <w:b/>
                <w:color w:val="000000" w:themeColor="text1"/>
                <w:sz w:val="24"/>
                <w:szCs w:val="24"/>
                <w:lang w:eastAsia="en-US"/>
              </w:rPr>
              <w:t>30</w:t>
            </w:r>
            <w:r w:rsidRPr="000E55E3">
              <w:rPr>
                <w:rFonts w:ascii="Times New Roman" w:eastAsia="Times New Roman" w:hAnsi="Times New Roman" w:cs="Times New Roman"/>
                <w:b/>
                <w:color w:val="000000" w:themeColor="text1"/>
                <w:sz w:val="24"/>
                <w:szCs w:val="24"/>
                <w:lang w:eastAsia="en-US"/>
              </w:rPr>
              <w:fldChar w:fldCharType="end"/>
            </w:r>
          </w:p>
        </w:tc>
        <w:tc>
          <w:tcPr>
            <w:tcW w:w="872" w:type="dxa"/>
            <w:tcBorders>
              <w:top w:val="single" w:sz="4" w:space="0" w:color="000000"/>
              <w:left w:val="single" w:sz="4" w:space="0" w:color="000000"/>
              <w:bottom w:val="single" w:sz="4" w:space="0" w:color="000000"/>
              <w:right w:val="single" w:sz="4" w:space="0" w:color="000000"/>
            </w:tcBorders>
          </w:tcPr>
          <w:p w:rsidR="0024195A" w:rsidRPr="000E55E3" w:rsidRDefault="003A638A" w:rsidP="000E55E3">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eastAsia="Times New Roman" w:hAnsi="Times New Roman" w:cs="Times New Roman"/>
                <w:b/>
                <w:color w:val="000000" w:themeColor="text1"/>
                <w:sz w:val="24"/>
                <w:szCs w:val="24"/>
              </w:rPr>
              <w:fldChar w:fldCharType="begin"/>
            </w:r>
            <w:r w:rsidRPr="000E55E3">
              <w:rPr>
                <w:rFonts w:ascii="Times New Roman" w:eastAsia="Times New Roman" w:hAnsi="Times New Roman" w:cs="Times New Roman"/>
                <w:b/>
                <w:color w:val="000000" w:themeColor="text1"/>
                <w:sz w:val="24"/>
                <w:szCs w:val="24"/>
              </w:rPr>
              <w:instrText xml:space="preserve"> =SUM(ABOVE)</w:instrText>
            </w:r>
            <w:r w:rsidRPr="000E55E3">
              <w:rPr>
                <w:rFonts w:ascii="Times New Roman" w:eastAsia="Times New Roman" w:hAnsi="Times New Roman" w:cs="Times New Roman"/>
                <w:b/>
                <w:color w:val="000000" w:themeColor="text1"/>
                <w:sz w:val="24"/>
                <w:szCs w:val="24"/>
              </w:rPr>
              <w:fldChar w:fldCharType="separate"/>
            </w:r>
            <w:r w:rsidRPr="000E55E3">
              <w:rPr>
                <w:rFonts w:ascii="Times New Roman" w:eastAsia="Times New Roman" w:hAnsi="Times New Roman" w:cs="Times New Roman"/>
                <w:b/>
                <w:color w:val="000000" w:themeColor="text1"/>
                <w:sz w:val="24"/>
                <w:szCs w:val="24"/>
              </w:rPr>
              <w:t>68</w:t>
            </w:r>
            <w:r w:rsidRPr="000E55E3">
              <w:rPr>
                <w:rFonts w:ascii="Times New Roman" w:eastAsia="Times New Roman" w:hAnsi="Times New Roman" w:cs="Times New Roman"/>
                <w:b/>
                <w:color w:val="000000" w:themeColor="text1"/>
                <w:sz w:val="24"/>
                <w:szCs w:val="24"/>
              </w:rPr>
              <w:fldChar w:fldCharType="end"/>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эссе</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7</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Итого в %</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37%</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25%</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75%</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63%</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r>
    </w:tbl>
    <w:p w:rsidR="0024195A" w:rsidRDefault="003A638A">
      <w:pPr>
        <w:pStyle w:val="2"/>
        <w:spacing w:before="280" w:after="280"/>
      </w:pPr>
      <w:bookmarkStart w:id="16" w:name="_Toc11051331"/>
      <w:bookmarkStart w:id="17" w:name="_Toc6820738"/>
      <w:r>
        <w:t>5.3. Содержание семинаров, практических занятий</w:t>
      </w:r>
      <w:bookmarkEnd w:id="16"/>
      <w:bookmarkEnd w:id="17"/>
      <w:r>
        <w:t xml:space="preserve"> </w:t>
      </w:r>
    </w:p>
    <w:p w:rsidR="0024195A" w:rsidRDefault="003A638A">
      <w:pPr>
        <w:spacing w:line="240" w:lineRule="auto"/>
        <w:jc w:val="right"/>
        <w:rPr>
          <w:rFonts w:ascii="Times New Roman" w:hAnsi="Times New Roman" w:cs="Times New Roman"/>
          <w:sz w:val="28"/>
          <w:szCs w:val="28"/>
        </w:rPr>
      </w:pPr>
      <w:r>
        <w:rPr>
          <w:rFonts w:ascii="Times New Roman" w:hAnsi="Times New Roman" w:cs="Times New Roman"/>
          <w:sz w:val="28"/>
          <w:szCs w:val="28"/>
        </w:rPr>
        <w:t>Таблица 3</w:t>
      </w:r>
    </w:p>
    <w:tbl>
      <w:tblPr>
        <w:tblStyle w:val="18"/>
        <w:tblW w:w="9345" w:type="dxa"/>
        <w:tblLayout w:type="fixed"/>
        <w:tblLook w:val="04A0" w:firstRow="1" w:lastRow="0" w:firstColumn="1" w:lastColumn="0" w:noHBand="0" w:noVBand="1"/>
      </w:tblPr>
      <w:tblGrid>
        <w:gridCol w:w="2326"/>
        <w:gridCol w:w="4825"/>
        <w:gridCol w:w="2194"/>
      </w:tblGrid>
      <w:tr w:rsidR="0024195A">
        <w:tc>
          <w:tcPr>
            <w:tcW w:w="2326" w:type="dxa"/>
          </w:tcPr>
          <w:p w:rsidR="0024195A" w:rsidRDefault="003A638A">
            <w:pPr>
              <w:keepNext/>
              <w:widowControl w:val="0"/>
              <w:spacing w:after="0" w:line="240" w:lineRule="auto"/>
              <w:jc w:val="both"/>
              <w:rPr>
                <w:rFonts w:ascii="Times New Roman" w:eastAsia="Times New Roman" w:hAnsi="Times New Roman"/>
                <w:b/>
                <w:sz w:val="24"/>
                <w:szCs w:val="24"/>
              </w:rPr>
            </w:pPr>
            <w:r>
              <w:rPr>
                <w:rFonts w:ascii="Times New Roman" w:eastAsia="Times New Roman" w:hAnsi="Times New Roman" w:cs="Times New Roman"/>
                <w:b/>
                <w:sz w:val="24"/>
                <w:szCs w:val="24"/>
              </w:rPr>
              <w:lastRenderedPageBreak/>
              <w:t>Наименование тем (разделов) дисциплины</w:t>
            </w:r>
          </w:p>
        </w:tc>
        <w:tc>
          <w:tcPr>
            <w:tcW w:w="4825" w:type="dxa"/>
          </w:tcPr>
          <w:p w:rsidR="0024195A" w:rsidRDefault="003A638A">
            <w:pPr>
              <w:keepNext/>
              <w:widowControl w:val="0"/>
              <w:spacing w:after="0" w:line="240" w:lineRule="auto"/>
              <w:jc w:val="both"/>
              <w:rPr>
                <w:rFonts w:ascii="Times New Roman" w:eastAsia="Times New Roman" w:hAnsi="Times New Roman"/>
                <w:b/>
                <w:sz w:val="24"/>
                <w:szCs w:val="24"/>
              </w:rPr>
            </w:pPr>
            <w:r>
              <w:rPr>
                <w:rFonts w:ascii="Times New Roman" w:eastAsia="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24195A" w:rsidRDefault="0024195A">
            <w:pPr>
              <w:keepNext/>
              <w:widowControl w:val="0"/>
              <w:spacing w:after="0" w:line="240" w:lineRule="auto"/>
              <w:jc w:val="both"/>
              <w:rPr>
                <w:rFonts w:ascii="Times New Roman" w:eastAsia="Times New Roman" w:hAnsi="Times New Roman"/>
                <w:b/>
                <w:sz w:val="24"/>
                <w:szCs w:val="24"/>
              </w:rPr>
            </w:pPr>
          </w:p>
        </w:tc>
        <w:tc>
          <w:tcPr>
            <w:tcW w:w="2194" w:type="dxa"/>
          </w:tcPr>
          <w:p w:rsidR="0024195A" w:rsidRDefault="003A638A">
            <w:pPr>
              <w:keepNext/>
              <w:widowControl w:val="0"/>
              <w:spacing w:after="0" w:line="240" w:lineRule="auto"/>
              <w:jc w:val="center"/>
              <w:rPr>
                <w:rFonts w:ascii="Times New Roman" w:eastAsia="Times New Roman" w:hAnsi="Times New Roman"/>
                <w:b/>
                <w:sz w:val="24"/>
                <w:szCs w:val="24"/>
              </w:rPr>
            </w:pPr>
            <w:r>
              <w:rPr>
                <w:rFonts w:ascii="Times New Roman" w:eastAsia="Times New Roman" w:hAnsi="Times New Roman" w:cs="Times New Roman"/>
                <w:b/>
                <w:sz w:val="24"/>
                <w:szCs w:val="24"/>
              </w:rPr>
              <w:t>Формы проведения занятий</w:t>
            </w:r>
          </w:p>
        </w:tc>
      </w:tr>
      <w:tr w:rsidR="0024195A">
        <w:tc>
          <w:tcPr>
            <w:tcW w:w="2326" w:type="dxa"/>
          </w:tcPr>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eastAsia="Times New Roman" w:hAnsi="Times New Roman" w:cs="Times New Roman"/>
                <w:color w:val="222222"/>
                <w:sz w:val="24"/>
              </w:rPr>
              <w:t>Раздел 1. Основы налогообложения энергетических компаний в России.</w:t>
            </w:r>
          </w:p>
          <w:p w:rsidR="0024195A" w:rsidRDefault="003A638A">
            <w:pPr>
              <w:keepNext/>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color w:val="222222"/>
                <w:sz w:val="24"/>
              </w:rPr>
              <w:t>Тема 1. Основные направления государственного регулирования энергетического сектора.</w:t>
            </w:r>
          </w:p>
        </w:tc>
        <w:tc>
          <w:tcPr>
            <w:tcW w:w="4825" w:type="dxa"/>
          </w:tcPr>
          <w:p w:rsidR="0024195A" w:rsidRDefault="003A638A">
            <w:pPr>
              <w:pStyle w:val="aff1"/>
              <w:tabs>
                <w:tab w:val="left" w:pos="380"/>
                <w:tab w:val="left" w:pos="651"/>
              </w:tabs>
              <w:ind w:left="0"/>
              <w:jc w:val="both"/>
              <w:rPr>
                <w:sz w:val="24"/>
                <w:szCs w:val="24"/>
              </w:rPr>
            </w:pPr>
            <w:r>
              <w:rPr>
                <w:sz w:val="24"/>
                <w:szCs w:val="24"/>
              </w:rPr>
              <w:t>Налоговая нагрузка энергетических компаний в России и за рубежом.</w:t>
            </w:r>
          </w:p>
          <w:p w:rsidR="0024195A" w:rsidRDefault="003A638A">
            <w:pPr>
              <w:pStyle w:val="aff1"/>
              <w:tabs>
                <w:tab w:val="left" w:pos="380"/>
                <w:tab w:val="left" w:pos="651"/>
              </w:tabs>
              <w:ind w:left="0"/>
              <w:jc w:val="both"/>
              <w:rPr>
                <w:sz w:val="24"/>
                <w:szCs w:val="24"/>
              </w:rPr>
            </w:pPr>
            <w:r>
              <w:rPr>
                <w:sz w:val="24"/>
                <w:szCs w:val="24"/>
              </w:rPr>
              <w:t>Налоговая политика в области регулирования энергетического сектора.</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Роль соглашений о свободной торговле и таможенных союзов в развитии энергетического сектора</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eastAsia="Times New Roman" w:hAnsi="Times New Roman" w:cs="Times New Roman"/>
                <w:color w:val="222222"/>
                <w:sz w:val="24"/>
              </w:rPr>
              <w:t>Тема 2.Налогообложение энергетических копаний в России</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Особенности исчисления и уплаты НДС при осуществлении строительно-монтажных работ и передаче товаров для собственных нужд.</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Расходы по научно-исследовательским и опытно-конструкторским разработкам. Расходы, связанные с геолого-разведочными работами и разработкой месторождений. Особенности признания расходов по строительству путепроводов для транспортировки продуктов переработки полезных ископаемых.</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Вопросы трансфертного ценообразования по операциям энергетических компаний.</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Налогообложение недвижимого имущества энергетических компаний (А42-539/2017;А05-1595/2017;А12-14902/2018;А12-14902/2018; А40-98958/2016; А41-19566/2015)</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Соглашение о разделе продукции и соглашение о разделе затрат в налоговом планировании энергетических компаний.</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eastAsia="Times New Roman" w:hAnsi="Times New Roman" w:cs="Times New Roman"/>
                <w:color w:val="222222"/>
                <w:sz w:val="24"/>
              </w:rPr>
              <w:t>Тема 3.Организация корпоративного налогового планирования</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Корпоративное планирование в налогообложении как функция управления финансами: содержание и связь с другими звеньями управления.</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 xml:space="preserve">Задачи и функции подразделений и должностных лиц организации, ответственных за обеспечение </w:t>
            </w:r>
            <w:r>
              <w:rPr>
                <w:rFonts w:ascii="Times New Roman" w:hAnsi="Times New Roman" w:cs="Times New Roman"/>
                <w:sz w:val="24"/>
                <w:szCs w:val="24"/>
              </w:rPr>
              <w:lastRenderedPageBreak/>
              <w:t>корпоративного планирования в налогообложении. Положение о налоговой службе организации.</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Взаимодействие организаций-налогоплательщиков со структурами налогового консультирования.</w:t>
            </w:r>
          </w:p>
          <w:p w:rsidR="0024195A" w:rsidRDefault="0024195A">
            <w:pPr>
              <w:pStyle w:val="aff1"/>
              <w:keepNext/>
              <w:tabs>
                <w:tab w:val="left" w:pos="367"/>
                <w:tab w:val="left" w:pos="651"/>
              </w:tabs>
              <w:ind w:left="0"/>
              <w:jc w:val="both"/>
              <w:rPr>
                <w:rFonts w:eastAsia="Calibri"/>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rsidP="000E55E3">
            <w:pPr>
              <w:pStyle w:val="aff1"/>
              <w:keepNext/>
              <w:tabs>
                <w:tab w:val="left" w:pos="367"/>
                <w:tab w:val="left" w:pos="651"/>
              </w:tabs>
              <w:ind w:left="0"/>
              <w:jc w:val="both"/>
              <w:rPr>
                <w:rFonts w:eastAsia="Calibri"/>
                <w:sz w:val="24"/>
                <w:szCs w:val="24"/>
              </w:rPr>
            </w:pPr>
            <w:r>
              <w:rPr>
                <w:rFonts w:eastAsia="Calibri"/>
                <w:sz w:val="24"/>
                <w:szCs w:val="24"/>
              </w:rPr>
              <w:t>Ресурсы сети «Интернет»: 1-</w:t>
            </w:r>
            <w:r>
              <w:rPr>
                <w:rFonts w:eastAsia="Calibri"/>
                <w:sz w:val="24"/>
                <w:szCs w:val="24"/>
                <w:lang w:val="en-US"/>
              </w:rPr>
              <w:t>9</w:t>
            </w:r>
          </w:p>
        </w:tc>
        <w:tc>
          <w:tcPr>
            <w:tcW w:w="2194" w:type="dxa"/>
          </w:tcPr>
          <w:p w:rsidR="0024195A" w:rsidRDefault="003A638A">
            <w:pPr>
              <w:pStyle w:val="Default"/>
            </w:pPr>
            <w:r>
              <w:lastRenderedPageBreak/>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Раздел 2. Основы международного налогового планирования в энергетических компаниях</w:t>
            </w:r>
          </w:p>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hAnsi="Times New Roman" w:cs="Times New Roman"/>
                <w:sz w:val="24"/>
                <w:szCs w:val="24"/>
              </w:rPr>
              <w:t>Тема 4. Базовые концепции международного налогообложения</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Реализация налоговой юрисдикции: источник возникновения дохода, налогооблагаемое присутствие. Понятие и признаки недобросовестной конкуренции налоговых систем.</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Принципы международного налогообложения: принципы территориальности и резидентства. Конфликт резидентства и источника дохода. Налоговые последствия смены налогового резидентства.</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Многократное юридическое и экономическое налогообложение. Методы устранения двойного юридического и экономического налогообложения, их ограничения. Трансформация методов устранения двойного налогообложения.</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5. Международное налогообложение в России</w:t>
            </w:r>
          </w:p>
        </w:tc>
        <w:tc>
          <w:tcPr>
            <w:tcW w:w="4825" w:type="dxa"/>
          </w:tcPr>
          <w:p w:rsidR="0024195A" w:rsidRDefault="003A638A">
            <w:pPr>
              <w:pStyle w:val="aff1"/>
              <w:tabs>
                <w:tab w:val="left" w:pos="380"/>
                <w:tab w:val="left" w:pos="651"/>
              </w:tabs>
              <w:ind w:left="0"/>
              <w:jc w:val="both"/>
              <w:rPr>
                <w:sz w:val="24"/>
                <w:szCs w:val="24"/>
              </w:rPr>
            </w:pPr>
            <w:r>
              <w:rPr>
                <w:sz w:val="24"/>
                <w:szCs w:val="24"/>
              </w:rPr>
              <w:t>Сравнительный анализ налогового статуса иностранных организаций, самостоятельно признавших себя налоговыми резидентами РФ.</w:t>
            </w:r>
          </w:p>
          <w:p w:rsidR="0024195A" w:rsidRDefault="003A638A">
            <w:pPr>
              <w:spacing w:after="0" w:line="240" w:lineRule="auto"/>
              <w:jc w:val="both"/>
              <w:rPr>
                <w:rFonts w:ascii="Times New Roman" w:eastAsia="Times New Roman" w:hAnsi="Times New Roman"/>
                <w:sz w:val="24"/>
                <w:szCs w:val="24"/>
              </w:rPr>
            </w:pPr>
            <w:r>
              <w:rPr>
                <w:rFonts w:ascii="Times New Roman" w:eastAsia="Times New Roman" w:hAnsi="Times New Roman" w:cs="Times New Roman"/>
                <w:sz w:val="24"/>
                <w:szCs w:val="24"/>
              </w:rPr>
              <w:t>Особенности определения налогового статуса подразделений иностранной организации при осуществлении разработки месторождений полезных ископаемых, в том числе при привлечении субподрядчиков.</w:t>
            </w:r>
          </w:p>
          <w:p w:rsidR="0024195A" w:rsidRDefault="003A638A">
            <w:pPr>
              <w:spacing w:after="0" w:line="240" w:lineRule="auto"/>
              <w:jc w:val="both"/>
              <w:rPr>
                <w:rFonts w:ascii="Times New Roman" w:eastAsia="Times New Roman" w:hAnsi="Times New Roman"/>
                <w:sz w:val="24"/>
                <w:szCs w:val="24"/>
              </w:rPr>
            </w:pPr>
            <w:r>
              <w:rPr>
                <w:rFonts w:ascii="Times New Roman" w:eastAsia="Times New Roman" w:hAnsi="Times New Roman" w:cs="Times New Roman"/>
                <w:sz w:val="24"/>
                <w:szCs w:val="24"/>
              </w:rPr>
              <w:t>Вопросы распределения доходов и расходов (убытков) между иностранной организацией и её постоянным представительством для целей налогообложения.</w:t>
            </w:r>
          </w:p>
          <w:p w:rsidR="0024195A" w:rsidRDefault="003A638A">
            <w:pPr>
              <w:pStyle w:val="aff1"/>
              <w:tabs>
                <w:tab w:val="left" w:pos="367"/>
                <w:tab w:val="left" w:pos="651"/>
              </w:tabs>
              <w:ind w:left="0"/>
              <w:jc w:val="both"/>
              <w:rPr>
                <w:sz w:val="24"/>
                <w:szCs w:val="24"/>
              </w:rPr>
            </w:pPr>
            <w:r>
              <w:rPr>
                <w:sz w:val="24"/>
                <w:szCs w:val="24"/>
              </w:rPr>
              <w:t>Методология определения налогооблагаемых доходов постоянного представительства. Налогообложение пассивных доходов, выплачиваемых постоянным представительством.</w:t>
            </w:r>
          </w:p>
          <w:p w:rsidR="0024195A" w:rsidRDefault="003A638A">
            <w:pPr>
              <w:pStyle w:val="aff1"/>
              <w:tabs>
                <w:tab w:val="left" w:pos="380"/>
                <w:tab w:val="left" w:pos="651"/>
              </w:tabs>
              <w:ind w:left="0"/>
              <w:jc w:val="both"/>
              <w:rPr>
                <w:sz w:val="24"/>
                <w:szCs w:val="24"/>
              </w:rPr>
            </w:pPr>
            <w:r>
              <w:rPr>
                <w:sz w:val="24"/>
                <w:szCs w:val="24"/>
              </w:rPr>
              <w:lastRenderedPageBreak/>
              <w:t>Особенности налогообложения российских организаций при осуществлении зарубежных проектов. Порядок определения налоговой базы по налогу на прибыль организаций, в том числе при осуществлении зарубежной деятельности через постоянное представительство.</w:t>
            </w:r>
          </w:p>
          <w:p w:rsidR="0024195A" w:rsidRDefault="003A638A">
            <w:pPr>
              <w:pStyle w:val="aff1"/>
              <w:tabs>
                <w:tab w:val="left" w:pos="380"/>
                <w:tab w:val="left" w:pos="651"/>
              </w:tabs>
              <w:ind w:left="0"/>
              <w:jc w:val="both"/>
              <w:rPr>
                <w:sz w:val="24"/>
                <w:szCs w:val="24"/>
              </w:rPr>
            </w:pPr>
            <w:r>
              <w:rPr>
                <w:sz w:val="24"/>
                <w:szCs w:val="24"/>
              </w:rPr>
              <w:t>Порядок устранения двойного налогообложения доходов и имущества российских организаций энергетического сектора согласно положениям НК РФ.</w:t>
            </w:r>
          </w:p>
          <w:p w:rsidR="0024195A" w:rsidRDefault="0024195A">
            <w:pPr>
              <w:pStyle w:val="aff1"/>
              <w:tabs>
                <w:tab w:val="left" w:pos="367"/>
                <w:tab w:val="left" w:pos="651"/>
              </w:tabs>
              <w:ind w:left="0"/>
              <w:jc w:val="both"/>
              <w:rPr>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lastRenderedPageBreak/>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6. Налогообложение пассивных доходов энергетических компаний.</w:t>
            </w:r>
          </w:p>
        </w:tc>
        <w:tc>
          <w:tcPr>
            <w:tcW w:w="4825" w:type="dxa"/>
          </w:tcPr>
          <w:p w:rsidR="0024195A" w:rsidRDefault="003A638A">
            <w:pPr>
              <w:pStyle w:val="aff1"/>
              <w:tabs>
                <w:tab w:val="left" w:pos="380"/>
                <w:tab w:val="left" w:pos="651"/>
              </w:tabs>
              <w:ind w:left="0"/>
              <w:jc w:val="both"/>
              <w:rPr>
                <w:sz w:val="24"/>
                <w:szCs w:val="24"/>
              </w:rPr>
            </w:pPr>
            <w:r>
              <w:rPr>
                <w:sz w:val="24"/>
                <w:szCs w:val="24"/>
              </w:rPr>
              <w:t>Правила ограничения процентных расходов при долговом финансировании деятельности энергетических компаний. Трансфертное ценообразование и правила тонкой капитализации.</w:t>
            </w:r>
          </w:p>
          <w:p w:rsidR="0024195A" w:rsidRDefault="003A638A">
            <w:pPr>
              <w:pStyle w:val="aff1"/>
              <w:tabs>
                <w:tab w:val="left" w:pos="380"/>
                <w:tab w:val="left" w:pos="651"/>
              </w:tabs>
              <w:ind w:left="0"/>
              <w:jc w:val="both"/>
              <w:rPr>
                <w:sz w:val="24"/>
                <w:szCs w:val="24"/>
              </w:rPr>
            </w:pPr>
            <w:r>
              <w:rPr>
                <w:sz w:val="24"/>
                <w:szCs w:val="24"/>
              </w:rPr>
              <w:t>Налогообложение доходов иностранной организации-участника инвестиционного товарищества.</w:t>
            </w:r>
          </w:p>
          <w:p w:rsidR="0024195A" w:rsidRDefault="003A638A">
            <w:pPr>
              <w:pStyle w:val="aff1"/>
              <w:tabs>
                <w:tab w:val="left" w:pos="380"/>
                <w:tab w:val="left" w:pos="651"/>
              </w:tabs>
              <w:ind w:left="0"/>
              <w:jc w:val="both"/>
              <w:rPr>
                <w:sz w:val="24"/>
                <w:szCs w:val="24"/>
              </w:rPr>
            </w:pPr>
            <w:r>
              <w:rPr>
                <w:sz w:val="24"/>
                <w:szCs w:val="24"/>
              </w:rPr>
              <w:t>Особенности налогообложения операций с производными финансовыми инструментами, в т.ч. операций хеджирования.</w:t>
            </w:r>
          </w:p>
          <w:p w:rsidR="0024195A" w:rsidRDefault="003A638A">
            <w:pPr>
              <w:pStyle w:val="aff1"/>
              <w:tabs>
                <w:tab w:val="left" w:pos="380"/>
                <w:tab w:val="left" w:pos="651"/>
              </w:tabs>
              <w:ind w:left="0"/>
              <w:jc w:val="both"/>
              <w:rPr>
                <w:sz w:val="24"/>
                <w:szCs w:val="24"/>
              </w:rPr>
            </w:pPr>
            <w:r>
              <w:rPr>
                <w:sz w:val="24"/>
                <w:szCs w:val="24"/>
              </w:rPr>
              <w:t>Устранение двойного налогообложения организаций согласно Налоговому кодексу Российской Федерации.</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7. Международные налоговые соглашения в налоговом планировании</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Виды международных налоговых соглашений. Особенности интерпретации положений международных налоговых соглашений для целей налогообложения энергетических компаний.</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Последствия применения международных соглашений к операциям по разработке, производстве и транспортировке энергоресурсов.</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Влияние международных налоговых соглашений на порядок распределения доходов и расходов постоянного представительства и головной организации, а также на трансфертное ценообразование участников ТНК.</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 xml:space="preserve">Порядок применения соглашений к </w:t>
            </w:r>
            <w:r>
              <w:rPr>
                <w:rFonts w:ascii="Times New Roman" w:hAnsi="Times New Roman" w:cs="Times New Roman"/>
                <w:sz w:val="24"/>
                <w:szCs w:val="24"/>
              </w:rPr>
              <w:lastRenderedPageBreak/>
              <w:t>пассивным доходам при осуществлении долевого и долгового финансирования проектов энергетических компаний.</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Последствия присоединения России к MLI для энергетический компаний.</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w:t>
            </w:r>
            <w:r w:rsidR="000E55E3">
              <w:rPr>
                <w:rFonts w:ascii="Times New Roman" w:hAnsi="Times New Roman" w:cs="Times New Roman"/>
                <w:sz w:val="24"/>
                <w:szCs w:val="24"/>
              </w:rPr>
              <w:t xml:space="preserve"> </w:t>
            </w:r>
            <w:r>
              <w:rPr>
                <w:rFonts w:ascii="Times New Roman" w:hAnsi="Times New Roman" w:cs="Times New Roman"/>
                <w:sz w:val="24"/>
                <w:szCs w:val="24"/>
              </w:rPr>
              <w:t>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lastRenderedPageBreak/>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8. Развитие международного налогового администрирования.</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Направления международного взаимодействия налоговых органов. Обмен информацией, помощь в сборе налогов.</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Трансформация международного налогообложения под действием Плана противодействия размыванию налоговой базы и выводу капитала (BEPS).</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Противодействие недобросовестному применению налоговых льгот, предусмотренных международными налоговыми соглашениями.</w:t>
            </w:r>
          </w:p>
          <w:p w:rsidR="0024195A" w:rsidRDefault="0024195A">
            <w:pPr>
              <w:pStyle w:val="aff1"/>
              <w:keepNext/>
              <w:tabs>
                <w:tab w:val="left" w:pos="380"/>
                <w:tab w:val="left" w:pos="651"/>
              </w:tabs>
              <w:ind w:left="0"/>
              <w:jc w:val="both"/>
              <w:rPr>
                <w:rFonts w:eastAsia="Calibri"/>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bl>
    <w:p w:rsidR="0024195A" w:rsidRDefault="0024195A">
      <w:pPr>
        <w:spacing w:line="240" w:lineRule="auto"/>
        <w:rPr>
          <w:rFonts w:ascii="Times New Roman" w:hAnsi="Times New Roman" w:cs="Times New Roman"/>
          <w:sz w:val="28"/>
          <w:szCs w:val="28"/>
        </w:rPr>
      </w:pPr>
    </w:p>
    <w:p w:rsidR="0024195A" w:rsidRDefault="003A638A">
      <w:pPr>
        <w:pStyle w:val="1"/>
      </w:pPr>
      <w:bookmarkStart w:id="18" w:name="_Toc11051332"/>
      <w:bookmarkStart w:id="19" w:name="_Toc6820739"/>
      <w:r>
        <w:t>6. Перечень учебно-методического обеспечения для самостоятельной работы обучающихся по дисциплине</w:t>
      </w:r>
      <w:bookmarkEnd w:id="18"/>
      <w:bookmarkEnd w:id="19"/>
    </w:p>
    <w:p w:rsidR="0024195A" w:rsidRDefault="0024195A">
      <w:pPr>
        <w:rPr>
          <w:rFonts w:ascii="Times New Roman" w:eastAsia="Times New Roman" w:hAnsi="Times New Roman" w:cs="Times New Roman"/>
          <w:b/>
          <w:bCs/>
          <w:sz w:val="28"/>
          <w:szCs w:val="36"/>
        </w:rPr>
      </w:pPr>
    </w:p>
    <w:p w:rsidR="0024195A" w:rsidRDefault="003A638A">
      <w:pPr>
        <w:pStyle w:val="2"/>
        <w:spacing w:before="280" w:after="280"/>
      </w:pPr>
      <w:bookmarkStart w:id="20" w:name="_Toc6820740"/>
      <w:bookmarkStart w:id="21" w:name="_Toc11051333"/>
      <w:r>
        <w:t>6.1. Перечень вопросов, отводимых на самостоятельное освоение дисциплины, формы внеаудиторной самостоятельной работы</w:t>
      </w:r>
      <w:bookmarkEnd w:id="20"/>
      <w:bookmarkEnd w:id="21"/>
    </w:p>
    <w:p w:rsidR="0024195A" w:rsidRDefault="003A638A">
      <w:pPr>
        <w:spacing w:line="240" w:lineRule="auto"/>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tblLayout w:type="fixed"/>
        <w:tblLook w:val="04A0" w:firstRow="1" w:lastRow="0" w:firstColumn="1" w:lastColumn="0" w:noHBand="0" w:noVBand="1"/>
      </w:tblPr>
      <w:tblGrid>
        <w:gridCol w:w="3508"/>
        <w:gridCol w:w="3809"/>
        <w:gridCol w:w="2254"/>
      </w:tblGrid>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spacing w:line="240" w:lineRule="auto"/>
              <w:rPr>
                <w:rFonts w:ascii="Times New Roman" w:hAnsi="Times New Roman" w:cs="Times New Roman"/>
                <w:b/>
                <w:sz w:val="24"/>
                <w:szCs w:val="24"/>
              </w:rPr>
            </w:pPr>
            <w:r>
              <w:rPr>
                <w:rFonts w:ascii="Times New Roman" w:hAnsi="Times New Roman" w:cs="Times New Roman"/>
                <w:b/>
                <w:sz w:val="24"/>
                <w:szCs w:val="24"/>
              </w:rPr>
              <w:t>Наименование тем (разделов) дисциплины</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spacing w:line="240" w:lineRule="auto"/>
              <w:rPr>
                <w:rFonts w:ascii="Times New Roman" w:hAnsi="Times New Roman" w:cs="Times New Roman"/>
                <w:b/>
                <w:sz w:val="24"/>
                <w:szCs w:val="24"/>
              </w:rPr>
            </w:pPr>
            <w:r>
              <w:rPr>
                <w:rFonts w:ascii="Times New Roman" w:hAnsi="Times New Roman" w:cs="Times New Roman"/>
                <w:b/>
                <w:sz w:val="24"/>
                <w:szCs w:val="24"/>
              </w:rPr>
              <w:t>Перечень вопросов, отводимых на самостоятельное освоение</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pPr>
              <w:spacing w:line="240" w:lineRule="auto"/>
              <w:rPr>
                <w:rFonts w:ascii="Times New Roman" w:hAnsi="Times New Roman" w:cs="Times New Roman"/>
                <w:b/>
                <w:sz w:val="24"/>
                <w:szCs w:val="24"/>
              </w:rPr>
            </w:pPr>
            <w:r>
              <w:rPr>
                <w:rFonts w:ascii="Times New Roman" w:hAnsi="Times New Roman" w:cs="Times New Roman"/>
                <w:b/>
                <w:sz w:val="24"/>
                <w:szCs w:val="24"/>
              </w:rPr>
              <w:t>Формы внеаудиторной самостоятельной работы</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jc w:val="both"/>
              <w:rPr>
                <w:rFonts w:ascii="Times New Roman" w:eastAsia="Times New Roman" w:hAnsi="Times New Roman"/>
                <w:color w:val="222222"/>
                <w:sz w:val="24"/>
              </w:rPr>
            </w:pPr>
            <w:r>
              <w:rPr>
                <w:rFonts w:ascii="Times New Roman" w:eastAsia="Times New Roman" w:hAnsi="Times New Roman"/>
                <w:color w:val="222222"/>
                <w:sz w:val="24"/>
              </w:rPr>
              <w:t>Раздел 1. Основы налогообложения энергетических компаний в России.</w:t>
            </w:r>
          </w:p>
          <w:p w:rsidR="0024195A" w:rsidRDefault="003A638A">
            <w:pPr>
              <w:tabs>
                <w:tab w:val="right" w:pos="851"/>
              </w:tabs>
              <w:spacing w:after="0" w:line="240" w:lineRule="auto"/>
              <w:rPr>
                <w:rFonts w:ascii="Times New Roman" w:eastAsia="Times New Roman" w:hAnsi="Times New Roman" w:cs="Times New Roman"/>
                <w:color w:val="222222"/>
                <w:sz w:val="24"/>
              </w:rPr>
            </w:pPr>
            <w:r>
              <w:rPr>
                <w:rFonts w:ascii="Times New Roman" w:eastAsia="Times New Roman" w:hAnsi="Times New Roman"/>
                <w:color w:val="222222"/>
                <w:sz w:val="24"/>
              </w:rPr>
              <w:t xml:space="preserve">Тема 1. Основные направления государственного регулирования энергетического </w:t>
            </w:r>
            <w:r>
              <w:rPr>
                <w:rFonts w:ascii="Times New Roman" w:eastAsia="Times New Roman" w:hAnsi="Times New Roman"/>
                <w:color w:val="222222"/>
                <w:sz w:val="24"/>
              </w:rPr>
              <w:lastRenderedPageBreak/>
              <w:t>сектора.</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lastRenderedPageBreak/>
              <w:t xml:space="preserve">Российские транснациональные корпорации энергетического сектора. Роль энергетических компаний в формировании доходов бюджетов бюджетной системы Российской Федерации. Государственное регулирование выброса углекислых газов, </w:t>
            </w:r>
            <w:r>
              <w:rPr>
                <w:rFonts w:ascii="Times New Roman" w:eastAsia="Times New Roman" w:hAnsi="Times New Roman" w:cs="Times New Roman"/>
                <w:color w:val="222222"/>
                <w:sz w:val="24"/>
                <w:szCs w:val="24"/>
              </w:rPr>
              <w:lastRenderedPageBreak/>
              <w:t>торговля квотами.</w:t>
            </w:r>
          </w:p>
          <w:p w:rsidR="0024195A" w:rsidRDefault="0024195A">
            <w:pPr>
              <w:pStyle w:val="aff1"/>
              <w:tabs>
                <w:tab w:val="left" w:pos="380"/>
                <w:tab w:val="left" w:pos="651"/>
                <w:tab w:val="right" w:pos="851"/>
              </w:tabs>
              <w:ind w:left="0"/>
              <w:rPr>
                <w:color w:val="222222"/>
                <w:sz w:val="24"/>
                <w:szCs w:val="24"/>
              </w:rPr>
            </w:pP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pPr>
              <w:tabs>
                <w:tab w:val="right" w:pos="851"/>
              </w:tabs>
              <w:rPr>
                <w:rFonts w:ascii="Times New Roman" w:eastAsia="Times New Roman" w:hAnsi="Times New Roman" w:cs="Times New Roman"/>
                <w:color w:val="222222"/>
                <w:sz w:val="24"/>
              </w:rPr>
            </w:pPr>
            <w:r>
              <w:rPr>
                <w:rFonts w:ascii="Times New Roman" w:eastAsia="Times New Roman" w:hAnsi="Times New Roman" w:cs="Times New Roman"/>
                <w:color w:val="222222"/>
                <w:sz w:val="24"/>
              </w:rPr>
              <w:lastRenderedPageBreak/>
              <w:t>Работа с литературой, правовыми базами, 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eastAsia="Times New Roman" w:hAnsi="Times New Roman" w:cs="Times New Roman"/>
                <w:color w:val="222222"/>
                <w:sz w:val="24"/>
              </w:rPr>
            </w:pPr>
            <w:r>
              <w:rPr>
                <w:rFonts w:ascii="Times New Roman" w:eastAsia="Times New Roman" w:hAnsi="Times New Roman"/>
                <w:color w:val="222222"/>
                <w:sz w:val="24"/>
              </w:rPr>
              <w:t>Тема 2.Налогообложение энергетических копаний в России</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Особенности определения налоговой базы в энергетических компаниях.  Специфика исчисления и уплаты НДС энергетическими компаниями.</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Особенности формирования расходов энергетических компаний.</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Налоговые льготы для разработки производства новых источников энергии. Особенности налогообложение доходов от владения и использования нематериальных активов в энергетическом секторе.</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Налогообложение имущества энергетических компаний. Проблема классификации имущества для целей налогообложения.</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Налоговое стимулирование защиты окружающей среды. Экологические налоги</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Налогообложение энергетических компаний за рубежом в нефтегазовом секторе, в секторе возобновляемых источников энергии.</w:t>
            </w:r>
          </w:p>
          <w:p w:rsidR="0024195A" w:rsidRDefault="0024195A">
            <w:pPr>
              <w:pStyle w:val="aff1"/>
              <w:tabs>
                <w:tab w:val="left" w:pos="367"/>
                <w:tab w:val="left" w:pos="651"/>
              </w:tabs>
              <w:ind w:left="0"/>
              <w:jc w:val="both"/>
              <w:rPr>
                <w:sz w:val="24"/>
                <w:szCs w:val="24"/>
              </w:rPr>
            </w:pP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rPr>
                <w:rFonts w:ascii="Times New Roman" w:hAnsi="Times New Roman" w:cs="Times New Roman"/>
                <w:sz w:val="24"/>
                <w:szCs w:val="24"/>
              </w:rPr>
            </w:pPr>
            <w:r>
              <w:rPr>
                <w:rFonts w:ascii="Times New Roman" w:hAnsi="Times New Roman" w:cs="Times New Roman"/>
                <w:sz w:val="24"/>
                <w:szCs w:val="24"/>
              </w:rPr>
              <w:t>Тема 3.Организация корпоративного налогового планирования</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jc w:val="both"/>
              <w:rPr>
                <w:rFonts w:ascii="Times New Roman" w:hAnsi="Times New Roman" w:cs="Times New Roman"/>
                <w:sz w:val="24"/>
                <w:szCs w:val="24"/>
              </w:rPr>
            </w:pPr>
            <w:r>
              <w:rPr>
                <w:rFonts w:ascii="Times New Roman" w:hAnsi="Times New Roman" w:cs="Times New Roman"/>
                <w:sz w:val="24"/>
                <w:szCs w:val="24"/>
              </w:rPr>
              <w:t>Консультационное обслуживание налогоплательщиков по вопросам налогового планирования.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jc w:val="both"/>
              <w:rPr>
                <w:rFonts w:ascii="Times New Roman" w:hAnsi="Times New Roman"/>
                <w:sz w:val="24"/>
                <w:szCs w:val="24"/>
              </w:rPr>
            </w:pPr>
            <w:r>
              <w:rPr>
                <w:rFonts w:ascii="Times New Roman" w:hAnsi="Times New Roman"/>
                <w:sz w:val="24"/>
                <w:szCs w:val="24"/>
              </w:rPr>
              <w:t xml:space="preserve">Раздел 2. Основы международного налогового планирования в энергетических </w:t>
            </w:r>
            <w:r>
              <w:rPr>
                <w:rFonts w:ascii="Times New Roman" w:hAnsi="Times New Roman"/>
                <w:sz w:val="24"/>
                <w:szCs w:val="24"/>
              </w:rPr>
              <w:lastRenderedPageBreak/>
              <w:t>компаниях</w:t>
            </w:r>
          </w:p>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4. Базовые концепции международного налогообложения</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Налоговый суверенитет и налоговая юрисдикция государства. Ограничение прав на взимание налогов.</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Противоречие критериев налогового резидентства. Феномен международного многократного налогообложения и многократного неналогообложения. Методы устранения двойного юридического налогообложения. Методология налогообложения прибыли организаций и доходов акционеров с целью устранения двойного экономического налогообложения.</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lastRenderedPageBreak/>
              <w:t xml:space="preserve">Работа с литературой, правовыми базами, </w:t>
            </w:r>
            <w:r>
              <w:rPr>
                <w:rFonts w:ascii="Times New Roman" w:eastAsia="Times New Roman" w:hAnsi="Times New Roman" w:cs="Times New Roman"/>
                <w:color w:val="222222"/>
                <w:sz w:val="24"/>
              </w:rPr>
              <w:lastRenderedPageBreak/>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lastRenderedPageBreak/>
              <w:t>Тема 5. Международное налогообложение в России</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Развитие института налогового резидентства в России. Причины и последствия введения ст.246.2 в НК РФ. Налоговый статус международных компаний и международных холдинговых компаний.</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Особенности применения п.4 ст.207 НК РФ к акционерам, директорам и сотрудникам энергетических компаний.</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Институт постоянного представительства в России. Критерии постоянного представительства, виды.</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Практика применения ст.288 НК РФ российскими организациями с зарубежными подразделениями. Показатели, учитываемые для определения доли прибыли подразделения для целей налогообложения российских организаций, организаций-членов КГН, зарубежная практика, новые подходы ОЭСР к распределению прибыли ТНК.</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6. Налогообложение пассивных доходов энергетических компаний.</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tabs>
                <w:tab w:val="right" w:pos="851"/>
              </w:tabs>
              <w:spacing w:after="0" w:line="240" w:lineRule="auto"/>
              <w:rPr>
                <w:rFonts w:ascii="Times New Roman" w:hAnsi="Times New Roman"/>
                <w:sz w:val="24"/>
                <w:szCs w:val="24"/>
              </w:rPr>
            </w:pP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Критерии отнесения доходов к категории пассивных. Преимущества и недостатки долевого и долгового финансирования международных проектов по производству, транспортировке энергоресурсов Пассивные доходы в Налоговом кодексе Российской Федерации. Понятие дивидендов и процентов. Виды доходов, приравненных для целей налогообложения к </w:t>
            </w:r>
            <w:r>
              <w:rPr>
                <w:rFonts w:ascii="Times New Roman" w:hAnsi="Times New Roman"/>
                <w:sz w:val="24"/>
                <w:szCs w:val="24"/>
              </w:rPr>
              <w:lastRenderedPageBreak/>
              <w:t>дивидендам, к процентам.</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lastRenderedPageBreak/>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7. Международные налоговые соглашения в налоговом планировании</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Международные налоговые и неналоговые соглашения, регулирующие вопросы международного налогообложения.</w:t>
            </w:r>
          </w:p>
          <w:p w:rsidR="0024195A" w:rsidRDefault="003A638A">
            <w:pPr>
              <w:pStyle w:val="aff1"/>
              <w:tabs>
                <w:tab w:val="left" w:pos="380"/>
                <w:tab w:val="left" w:pos="651"/>
              </w:tabs>
              <w:ind w:left="0"/>
              <w:jc w:val="both"/>
              <w:rPr>
                <w:rFonts w:eastAsia="Calibri" w:cs="Calibri"/>
                <w:sz w:val="24"/>
                <w:szCs w:val="24"/>
              </w:rPr>
            </w:pPr>
            <w:r>
              <w:rPr>
                <w:rFonts w:eastAsia="Calibri" w:cs="Calibri"/>
                <w:sz w:val="24"/>
                <w:szCs w:val="24"/>
              </w:rPr>
              <w:t>Взаимодействие национального законодательства и международных соглашений. Типовая структура международного налогового соглашения. Основные подходы международных налоговых соглашений к налогообложению пассивных доходов и капитала.</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Правовой статус модельных конвенций, комментариев к модельным конвенциям, разъяснений фискальных органов.</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Особенности международных перевозок энергетических ресурсов. Морские перевозки. Трубопроводы.</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Особенности распределения доходов и расходов постоянного представительства и головной компании.</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8. Развитие международного налогового администрирования.</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Обмен налоговой информацией в Налоговом кодексе РФ и международных конвенциях. Виды обмена информацией. Обмен налоговой информацией со странами, включенными в «черный» список Минфина РФ.</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Ограничения по применению льгот, предоставляемых международными налоговыми соглашениями. Виды ограничений.</w:t>
            </w:r>
          </w:p>
          <w:p w:rsidR="0024195A" w:rsidRDefault="003A638A">
            <w:pPr>
              <w:tabs>
                <w:tab w:val="right" w:pos="851"/>
              </w:tabs>
              <w:spacing w:after="0" w:line="240" w:lineRule="auto"/>
              <w:rPr>
                <w:rFonts w:ascii="Times New Roman" w:eastAsia="Times New Roman" w:hAnsi="Times New Roman" w:cs="Times New Roman"/>
                <w:color w:val="000000" w:themeColor="text1"/>
                <w:sz w:val="24"/>
              </w:rPr>
            </w:pPr>
            <w:r>
              <w:rPr>
                <w:rFonts w:ascii="Times New Roman" w:hAnsi="Times New Roman"/>
                <w:sz w:val="24"/>
                <w:szCs w:val="24"/>
              </w:rPr>
              <w:t>Низконалоговые юрисдикции и особенности их налоговых режимов. Меры противодействия недобросовестной налоговой конкуренции. Развитие концепции существенного экономического присутствия.</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bl>
    <w:p w:rsidR="0024195A" w:rsidRDefault="0024195A">
      <w:pPr>
        <w:keepNext/>
        <w:widowControl w:val="0"/>
        <w:spacing w:after="0" w:line="240" w:lineRule="auto"/>
        <w:ind w:firstLine="709"/>
        <w:jc w:val="both"/>
        <w:rPr>
          <w:rFonts w:ascii="Times New Roman" w:eastAsia="Times New Roman" w:hAnsi="Times New Roman" w:cs="Times New Roman"/>
          <w:b/>
          <w:sz w:val="28"/>
          <w:szCs w:val="28"/>
        </w:rPr>
      </w:pPr>
    </w:p>
    <w:p w:rsidR="0024195A" w:rsidRDefault="003A638A">
      <w:pPr>
        <w:keepNext/>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6.2. Перечень вопросов, заданий, тем для подготовки к текущему контролю </w:t>
      </w:r>
    </w:p>
    <w:p w:rsidR="0024195A" w:rsidRDefault="003A638A">
      <w:pPr>
        <w:pStyle w:val="Default"/>
        <w:ind w:firstLine="709"/>
        <w:jc w:val="both"/>
        <w:rPr>
          <w:color w:val="000000" w:themeColor="text1"/>
          <w:sz w:val="28"/>
          <w:szCs w:val="28"/>
        </w:rPr>
      </w:pPr>
      <w:r>
        <w:rPr>
          <w:color w:val="000000" w:themeColor="text1"/>
          <w:sz w:val="28"/>
          <w:szCs w:val="28"/>
        </w:rPr>
        <w:t>Оценка знаний студентов осуществляется в баллах с учетом оценки работы в семестре (обсуждение практических ситуаций, структурированная дискуссия; выполнение эссе).</w:t>
      </w:r>
    </w:p>
    <w:p w:rsidR="0024195A" w:rsidRDefault="003A638A">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rsidR="0024195A" w:rsidRDefault="003A638A">
      <w:pPr>
        <w:widowControl w:val="0"/>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Распределение максимальных баллов по видам работ:</w:t>
      </w:r>
    </w:p>
    <w:tbl>
      <w:tblPr>
        <w:tblStyle w:val="TableNormal1"/>
        <w:tblW w:w="9243" w:type="dxa"/>
        <w:tblInd w:w="108" w:type="dxa"/>
        <w:tblLayout w:type="fixed"/>
        <w:tblCellMar>
          <w:top w:w="80" w:type="dxa"/>
          <w:left w:w="80" w:type="dxa"/>
          <w:bottom w:w="80" w:type="dxa"/>
          <w:right w:w="80" w:type="dxa"/>
        </w:tblCellMar>
        <w:tblLook w:val="04A0" w:firstRow="1" w:lastRow="0" w:firstColumn="1" w:lastColumn="0" w:noHBand="0" w:noVBand="1"/>
      </w:tblPr>
      <w:tblGrid>
        <w:gridCol w:w="1134"/>
        <w:gridCol w:w="4111"/>
        <w:gridCol w:w="3998"/>
      </w:tblGrid>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 п</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Вид работы</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Максимальная сумма баллов</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Работа в модуле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40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Экзамен</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60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Итого:</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100</w:t>
            </w:r>
          </w:p>
        </w:tc>
      </w:tr>
    </w:tbl>
    <w:p w:rsidR="0024195A" w:rsidRDefault="0024195A">
      <w:pPr>
        <w:widowControl w:val="0"/>
        <w:tabs>
          <w:tab w:val="left" w:pos="709"/>
          <w:tab w:val="left" w:pos="993"/>
        </w:tabs>
        <w:spacing w:after="0" w:line="360" w:lineRule="auto"/>
        <w:jc w:val="both"/>
        <w:rPr>
          <w:rFonts w:ascii="Times New Roman" w:eastAsia="Times New Roman" w:hAnsi="Times New Roman" w:cs="Times New Roman"/>
          <w:b/>
          <w:bCs/>
          <w:sz w:val="28"/>
          <w:szCs w:val="28"/>
        </w:rPr>
      </w:pPr>
    </w:p>
    <w:p w:rsidR="0024195A" w:rsidRDefault="003A638A">
      <w:pPr>
        <w:widowControl w:val="0"/>
        <w:tabs>
          <w:tab w:val="left" w:pos="709"/>
          <w:tab w:val="left" w:pos="993"/>
        </w:tabs>
        <w:spacing w:after="0" w:line="36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Формы текущего контроля успеваемости и их балльная оценка</w:t>
      </w:r>
    </w:p>
    <w:tbl>
      <w:tblPr>
        <w:tblStyle w:val="TableNormal1"/>
        <w:tblW w:w="9243" w:type="dxa"/>
        <w:tblInd w:w="108" w:type="dxa"/>
        <w:tblLayout w:type="fixed"/>
        <w:tblCellMar>
          <w:top w:w="80" w:type="dxa"/>
          <w:left w:w="80" w:type="dxa"/>
          <w:bottom w:w="80" w:type="dxa"/>
          <w:right w:w="80" w:type="dxa"/>
        </w:tblCellMar>
        <w:tblLook w:val="04A0" w:firstRow="1" w:lastRow="0" w:firstColumn="1" w:lastColumn="0" w:noHBand="0" w:noVBand="1"/>
      </w:tblPr>
      <w:tblGrid>
        <w:gridCol w:w="1134"/>
        <w:gridCol w:w="4111"/>
        <w:gridCol w:w="3998"/>
      </w:tblGrid>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 п</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Формы текущего контроля</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Количество баллов (модуль 5)</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Посещение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6</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Решение практико-ориентированного задания</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lang w:val="en-US"/>
              </w:rPr>
            </w:pPr>
            <w:r>
              <w:rPr>
                <w:rFonts w:ascii="Times New Roman" w:eastAsia="Times New Roman" w:hAnsi="Times New Roman" w:cs="Times New Roman"/>
                <w:sz w:val="24"/>
                <w:szCs w:val="24"/>
                <w:lang w:val="en-US"/>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Аналитический обзор</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4</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lang w:val="en-US"/>
              </w:rPr>
            </w:pPr>
            <w:r>
              <w:rPr>
                <w:rFonts w:ascii="Times New Roman" w:eastAsia="Times New Roman" w:hAnsi="Times New Roman" w:cs="Times New Roman"/>
                <w:sz w:val="24"/>
                <w:szCs w:val="24"/>
                <w:lang w:val="en-US"/>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Тестирование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Выполнение эссе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Итого</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40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Экзамен</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60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ВСЕГО</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100</w:t>
            </w:r>
          </w:p>
        </w:tc>
      </w:tr>
    </w:tbl>
    <w:p w:rsidR="0024195A" w:rsidRDefault="0024195A">
      <w:pPr>
        <w:spacing w:after="0" w:line="240" w:lineRule="auto"/>
        <w:ind w:firstLine="709"/>
        <w:jc w:val="both"/>
        <w:rPr>
          <w:rFonts w:ascii="Times New Roman" w:eastAsia="Times New Roman" w:hAnsi="Times New Roman" w:cs="Times New Roman"/>
          <w:color w:val="FF0000"/>
          <w:sz w:val="28"/>
          <w:szCs w:val="28"/>
        </w:rPr>
      </w:pPr>
    </w:p>
    <w:p w:rsidR="0024195A" w:rsidRDefault="003A638A">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24195A" w:rsidRDefault="003A638A">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Тематика эссе</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1.Развитие правила «365 дней» для целей налогообложения дивидендов в международных налоговых соглашениях и национальном налоговом законодательстве.</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2.Современная интерпретация концепции силы притяжения.</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3.Международное налогообложение реализации прав на добычу полезных ископаемых (разработку месторождений).</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4.Вопросы применения международных налоговых соглашений к территориям морских углеводородных месторождений.</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5.Развитие концепции постоянного представительства для целей налогообложения деятельности субподрядчиков при производстве энергии.</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6.Налоговые последствия ликвидации, консервации, вывода из эксплуатации месторождений, разрабатываемых членами транснациональной корпорации.</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7.Налогообложение международных перевозок (с использованием танкеров, сухогрузов и проч.)</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8.Вопросы международного налогообложения судов, обслуживающих добычу полезных ископаемых на морских углеводородных месторождениях.</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9.Строительство международных трубопроводов: налоговый аспект.</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10.Международное налогообложение вознаграждения сервисных инженеров и других мобильных сотрудников в энергетической отрасли.</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11.Развитие концепции сервисного постоянного представительства в странах с развивающейся экономикой и экономикой переходного типа.</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12.Налогообложение международных научно-исследовательских и опытно-конструкторских проектов, выполняемых компаниями группы ТНК.</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13.Изменение налоговой политики низконалоговых юрисдикций в условиях глобальной борьбы с размыванием налоговой базы и уклонением от налогообложения.</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14.Современные задачи международного обмена налоговой информацией.</w:t>
      </w:r>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Пример практико-ориентированного задания </w:t>
      </w:r>
    </w:p>
    <w:p w:rsidR="0024195A" w:rsidRDefault="0024195A">
      <w:pPr>
        <w:spacing w:after="0" w:line="360" w:lineRule="auto"/>
        <w:ind w:firstLine="709"/>
        <w:jc w:val="both"/>
        <w:rPr>
          <w:rFonts w:ascii="Times New Roman" w:hAnsi="Times New Roman" w:cs="Times New Roman"/>
          <w:b/>
          <w:bCs/>
          <w:color w:val="000000" w:themeColor="text1"/>
          <w:sz w:val="28"/>
          <w:szCs w:val="28"/>
        </w:rPr>
      </w:pP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Выберите управленческое решение на основе анализа следующих вариантов:</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возникнет ли потенциальная проблема международного двойного налогообложения при осуществлении российской организацией, участвующей во внешнеэкономической деятельности, инвестиций в форме участия в капитале иностранной компании. Каковы причины этой проблемы? Всегда ли она возникает, если нет, то в каких случаях? Устранится ли эта проблема, если изменится форма иностранных инвестиций. Какая форма иностранных инвестиций является наиболее оптимальной с точки зрения минимизации двойного налогообложения? Имеет ли значение для этой цели выбор страны для инвестиций?</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объясните механизм метода налогового зачета для устранения международного двойного налогообложения (установленного статьей 311 НК РФ) для различных форм иностранных инвестиций российской компании. Подготовить предложение, обосновав выбор страны возможного инвестирования.</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какова связь между этим методом и понятием беспристрастности налогообложения, используемым в международном налогообложении. Как наиболее эффективно использовать данный метод и особенности обычного </w:t>
      </w:r>
      <w:r>
        <w:rPr>
          <w:rFonts w:ascii="Times New Roman" w:hAnsi="Times New Roman" w:cs="Times New Roman"/>
          <w:sz w:val="28"/>
          <w:szCs w:val="28"/>
        </w:rPr>
        <w:lastRenderedPageBreak/>
        <w:t>налогового кредита в налоговом и инвестиционном планировании российской организации?</w:t>
      </w:r>
    </w:p>
    <w:p w:rsidR="0024195A" w:rsidRDefault="0024195A">
      <w:pPr>
        <w:spacing w:after="0" w:line="240" w:lineRule="auto"/>
        <w:ind w:firstLine="709"/>
        <w:jc w:val="both"/>
        <w:rPr>
          <w:rFonts w:ascii="Times New Roman" w:eastAsia="Times New Roman" w:hAnsi="Times New Roman" w:cs="Times New Roman"/>
          <w:sz w:val="28"/>
          <w:szCs w:val="28"/>
        </w:rPr>
      </w:pPr>
    </w:p>
    <w:p w:rsidR="0024195A" w:rsidRDefault="003A638A">
      <w:pPr>
        <w:pStyle w:val="1"/>
        <w:jc w:val="left"/>
      </w:pPr>
      <w:r>
        <w:t>7. Фонд оценочных средств для проведения промежуточной аттестации обучающихся по дисциплине</w:t>
      </w: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7.1 Перечень компетенций, формируемых в процессе освоения дисциплины</w:t>
      </w:r>
    </w:p>
    <w:p w:rsidR="0024195A" w:rsidRDefault="003A638A">
      <w:pPr>
        <w:widowControl w:val="0"/>
        <w:tabs>
          <w:tab w:val="left" w:pos="54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rsidR="0024195A" w:rsidRDefault="0024195A">
      <w:pPr>
        <w:widowControl w:val="0"/>
        <w:tabs>
          <w:tab w:val="left" w:pos="540"/>
        </w:tabs>
        <w:spacing w:after="0" w:line="240" w:lineRule="auto"/>
        <w:ind w:firstLine="709"/>
        <w:jc w:val="both"/>
        <w:rPr>
          <w:rFonts w:ascii="Times New Roman" w:eastAsia="Times New Roman" w:hAnsi="Times New Roman" w:cs="Times New Roman"/>
          <w:sz w:val="28"/>
          <w:szCs w:val="28"/>
        </w:rPr>
      </w:pPr>
    </w:p>
    <w:p w:rsidR="0024195A" w:rsidRDefault="003A638A">
      <w:pPr>
        <w:ind w:firstLine="709"/>
        <w:jc w:val="both"/>
        <w:rPr>
          <w:rFonts w:ascii="Times New Roman" w:hAnsi="Times New Roman" w:cs="Times New Roman"/>
          <w:b/>
          <w:sz w:val="28"/>
          <w:szCs w:val="28"/>
        </w:rPr>
      </w:pPr>
      <w:r>
        <w:rPr>
          <w:rFonts w:ascii="Times New Roman" w:hAnsi="Times New Roman" w:cs="Times New Roman"/>
          <w:b/>
          <w:sz w:val="28"/>
          <w:szCs w:val="28"/>
        </w:rPr>
        <w:t>7.2. Типовые контрольные задания или иные материалы, необходимые для оценки знаний, умений и навыков</w:t>
      </w:r>
    </w:p>
    <w:p w:rsidR="0024195A" w:rsidRDefault="003A638A">
      <w:pPr>
        <w:widowControl w:val="0"/>
        <w:tabs>
          <w:tab w:val="left" w:pos="5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Таблица 5</w:t>
      </w:r>
    </w:p>
    <w:tbl>
      <w:tblPr>
        <w:tblStyle w:val="31"/>
        <w:tblW w:w="9345" w:type="dxa"/>
        <w:tblLayout w:type="fixed"/>
        <w:tblLook w:val="04A0" w:firstRow="1" w:lastRow="0" w:firstColumn="1" w:lastColumn="0" w:noHBand="0" w:noVBand="1"/>
      </w:tblPr>
      <w:tblGrid>
        <w:gridCol w:w="1958"/>
        <w:gridCol w:w="2533"/>
        <w:gridCol w:w="2578"/>
        <w:gridCol w:w="2276"/>
      </w:tblGrid>
      <w:tr w:rsidR="0024195A">
        <w:tc>
          <w:tcPr>
            <w:tcW w:w="1957"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Наименование компетенции</w:t>
            </w:r>
          </w:p>
        </w:tc>
        <w:tc>
          <w:tcPr>
            <w:tcW w:w="2533"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Наименование  индикаторов достижения компетенции</w:t>
            </w:r>
          </w:p>
        </w:tc>
        <w:tc>
          <w:tcPr>
            <w:tcW w:w="2578"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Результаты обучения (умения и знания), соотнесенные с индикаторами достижения компетенции</w:t>
            </w:r>
          </w:p>
        </w:tc>
        <w:tc>
          <w:tcPr>
            <w:tcW w:w="2276"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Типовые контрольные задания</w:t>
            </w:r>
          </w:p>
        </w:tc>
      </w:tr>
      <w:tr w:rsidR="0024195A">
        <w:tc>
          <w:tcPr>
            <w:tcW w:w="1957" w:type="dxa"/>
            <w:vMerge w:val="restart"/>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 (ПК-2)</w:t>
            </w:r>
          </w:p>
        </w:tc>
        <w:tc>
          <w:tcPr>
            <w:tcW w:w="2533"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1. 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tc>
        <w:tc>
          <w:tcPr>
            <w:tcW w:w="2578"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Знать систему показателей эффективности налогового планирования в условиях внешнеэкономической деятельности</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eastAsia="Times New Roman" w:hAnsi="Times New Roman"/>
                <w:b/>
                <w:color w:val="FF0000"/>
                <w:sz w:val="28"/>
                <w:szCs w:val="28"/>
              </w:rPr>
            </w:pPr>
            <w:r>
              <w:rPr>
                <w:rFonts w:ascii="Times New Roman" w:hAnsi="Times New Roman" w:cs="Times New Roman"/>
                <w:sz w:val="24"/>
                <w:szCs w:val="24"/>
              </w:rPr>
              <w:t>Уметь выполнять ранжирование и расчет показателей эффективности налогового планирования при осуществлении внешнеэкономической деятельности</w:t>
            </w:r>
          </w:p>
        </w:tc>
        <w:tc>
          <w:tcPr>
            <w:tcW w:w="2276"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Перечислите инструменты противодействия уклонению от налогообложения при злоупотреблении долговым финансированием.</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Задание 2.</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 xml:space="preserve">Рассчитайте эффективную налоговую ставку для роялти, выплачиваемых российской организацией дочерней иностранной организации на </w:t>
            </w:r>
            <w:r>
              <w:rPr>
                <w:rFonts w:ascii="Times New Roman" w:hAnsi="Times New Roman" w:cs="Times New Roman"/>
                <w:sz w:val="24"/>
                <w:szCs w:val="24"/>
              </w:rPr>
              <w:lastRenderedPageBreak/>
              <w:t>Кипре, которая затем через выплату процентов по займу перечисляет эквивалентную сумму денежных средств в пользу взаимозависимой организации в низконалоговой юрисдикции.</w:t>
            </w:r>
          </w:p>
        </w:tc>
      </w:tr>
      <w:tr w:rsidR="0024195A">
        <w:trPr>
          <w:trHeight w:val="1845"/>
        </w:trPr>
        <w:tc>
          <w:tcPr>
            <w:tcW w:w="1957" w:type="dxa"/>
            <w:vMerge/>
          </w:tcPr>
          <w:p w:rsidR="0024195A" w:rsidRDefault="0024195A">
            <w:pPr>
              <w:widowControl w:val="0"/>
              <w:spacing w:after="0" w:line="240" w:lineRule="auto"/>
              <w:jc w:val="both"/>
              <w:rPr>
                <w:rFonts w:ascii="Times New Roman" w:eastAsia="Times New Roman" w:hAnsi="Times New Roman"/>
                <w:sz w:val="28"/>
                <w:szCs w:val="28"/>
              </w:rPr>
            </w:pPr>
          </w:p>
        </w:tc>
        <w:tc>
          <w:tcPr>
            <w:tcW w:w="2533"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2. Выбирает формы, методы и инструменты прогноза различных бизнес-процессов в деятельности энергетических компаний.</w:t>
            </w:r>
          </w:p>
        </w:tc>
        <w:tc>
          <w:tcPr>
            <w:tcW w:w="2578"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Знать формы, методы и инструменты прогнозирования бизнес-процессов</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Уметь выполнять выбор оптимальных форм, методов и инструментов прогнозирования бизнес-процессов</w:t>
            </w:r>
          </w:p>
        </w:tc>
        <w:tc>
          <w:tcPr>
            <w:tcW w:w="2276" w:type="dxa"/>
          </w:tcPr>
          <w:p w:rsidR="0024195A" w:rsidRDefault="003A638A">
            <w:pPr>
              <w:tabs>
                <w:tab w:val="left" w:pos="540"/>
              </w:tabs>
              <w:spacing w:after="0" w:line="240" w:lineRule="auto"/>
              <w:contextualSpacing/>
              <w:jc w:val="both"/>
              <w:rPr>
                <w:rFonts w:ascii="Times New Roman" w:hAnsi="Times New Roman"/>
                <w:b/>
                <w:sz w:val="24"/>
                <w:szCs w:val="24"/>
              </w:rPr>
            </w:pPr>
            <w:r>
              <w:rPr>
                <w:rFonts w:ascii="Times New Roman" w:hAnsi="Times New Roman" w:cs="Times New Roman"/>
                <w:b/>
                <w:sz w:val="24"/>
                <w:szCs w:val="24"/>
              </w:rPr>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Определите и ранжируйте критерии выбора налоговой юрисдикции при ведении трансграничного бизнеса в энергетической отрасли.</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b/>
                <w:sz w:val="24"/>
                <w:szCs w:val="24"/>
              </w:rPr>
            </w:pPr>
            <w:r>
              <w:rPr>
                <w:rFonts w:ascii="Times New Roman" w:hAnsi="Times New Roman" w:cs="Times New Roman"/>
                <w:b/>
                <w:sz w:val="24"/>
                <w:szCs w:val="24"/>
              </w:rPr>
              <w:t>Задание 2.</w:t>
            </w:r>
          </w:p>
          <w:p w:rsidR="0024195A" w:rsidRDefault="003A638A">
            <w:pPr>
              <w:spacing w:after="0" w:line="240" w:lineRule="auto"/>
              <w:jc w:val="both"/>
              <w:rPr>
                <w:rFonts w:ascii="Times New Roman" w:hAnsi="Times New Roman"/>
                <w:sz w:val="24"/>
                <w:szCs w:val="24"/>
              </w:rPr>
            </w:pPr>
            <w:r>
              <w:rPr>
                <w:rFonts w:ascii="Times New Roman" w:hAnsi="Times New Roman" w:cs="Times New Roman"/>
                <w:sz w:val="24"/>
                <w:szCs w:val="24"/>
              </w:rPr>
              <w:t xml:space="preserve">Компания X, зарегистрированная в стране X, занимается производством нефтедобывающих платформ, трубопроводов и другого оборудования, заключает контракты на установку нефтяных платформ, покрытие трубопроводов на различных объектах. Компания Х выиграла тендер и заключила договор с Компанией W, зарегистрированной в стране W.  Договор включает работы, связанные </w:t>
            </w:r>
            <w:r>
              <w:rPr>
                <w:rFonts w:ascii="Times New Roman" w:hAnsi="Times New Roman" w:cs="Times New Roman"/>
                <w:sz w:val="24"/>
                <w:szCs w:val="24"/>
              </w:rPr>
              <w:lastRenderedPageBreak/>
              <w:t>с установкой, испытанием и вводом в эксплуатацию платформ, все работы проводились в стране W, начиная с мая и завершились к концу сентября того же года. Часть работ выполнялась через проектный офис в стране W. Сотрудники проектного офиса не участвовали в надзоре за проектной документацией. Компания X не вела отдельные бухгалтерские книги, относящиеся к контракту. Предварительная инспекция и исследования были проведены в стране W независимым подрядчиком Q Inc., резидентом страны Y, в апреле.</w:t>
            </w:r>
          </w:p>
          <w:p w:rsidR="0024195A" w:rsidRDefault="003A638A">
            <w:pPr>
              <w:spacing w:after="0" w:line="240" w:lineRule="auto"/>
              <w:jc w:val="both"/>
              <w:rPr>
                <w:rFonts w:ascii="Times New Roman" w:hAnsi="Times New Roman"/>
                <w:sz w:val="24"/>
                <w:szCs w:val="24"/>
              </w:rPr>
            </w:pPr>
            <w:r>
              <w:rPr>
                <w:rFonts w:ascii="Times New Roman" w:hAnsi="Times New Roman" w:cs="Times New Roman"/>
                <w:sz w:val="24"/>
                <w:szCs w:val="24"/>
              </w:rPr>
              <w:t>Оцените риск возникновения постоянного представительства компании X.</w:t>
            </w:r>
          </w:p>
        </w:tc>
      </w:tr>
      <w:tr w:rsidR="0024195A">
        <w:trPr>
          <w:trHeight w:val="1180"/>
        </w:trPr>
        <w:tc>
          <w:tcPr>
            <w:tcW w:w="1957" w:type="dxa"/>
            <w:vMerge w:val="restart"/>
          </w:tcPr>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lastRenderedPageBreak/>
              <w:t xml:space="preserve">Способность использовать современные технологии при разработке и принятии управленческих решений по реализации стратегии ведения бизнеса российскими и зарубежными </w:t>
            </w:r>
            <w:r>
              <w:rPr>
                <w:rFonts w:ascii="Times New Roman" w:hAnsi="Times New Roman" w:cs="Times New Roman"/>
                <w:sz w:val="24"/>
                <w:szCs w:val="24"/>
              </w:rPr>
              <w:lastRenderedPageBreak/>
              <w:t>энергетическими компаниями (ПК-4)</w:t>
            </w:r>
          </w:p>
        </w:tc>
        <w:tc>
          <w:tcPr>
            <w:tcW w:w="2533" w:type="dxa"/>
          </w:tcPr>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lastRenderedPageBreak/>
              <w:t>1.Разрабатывает предложения по развитию и оптимизации торговли энергетическими товарами, в том числе с использованием механизмов биржевой торговли</w:t>
            </w:r>
          </w:p>
        </w:tc>
        <w:tc>
          <w:tcPr>
            <w:tcW w:w="2578" w:type="dxa"/>
          </w:tcPr>
          <w:p w:rsidR="0024195A" w:rsidRDefault="003A638A">
            <w:pPr>
              <w:tabs>
                <w:tab w:val="left" w:pos="540"/>
              </w:tabs>
              <w:spacing w:after="0" w:line="240" w:lineRule="auto"/>
              <w:contextualSpacing/>
              <w:rPr>
                <w:rFonts w:ascii="Times New Roman" w:hAnsi="Times New Roman"/>
                <w:sz w:val="24"/>
                <w:szCs w:val="24"/>
              </w:rPr>
            </w:pPr>
            <w:r>
              <w:rPr>
                <w:rFonts w:ascii="Times New Roman" w:hAnsi="Times New Roman" w:cs="Times New Roman"/>
                <w:sz w:val="24"/>
                <w:szCs w:val="24"/>
              </w:rPr>
              <w:t>Знать методики формирования налоговой базы по налогам и сборам, уплачиваемым энергетическими компаниями</w:t>
            </w: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Уметь вырабатывать предложения по формированию налоговой и финансовой корпоративной политики энергетических компаний, осуществляющих внешнеэкономическую деятельность</w:t>
            </w:r>
          </w:p>
        </w:tc>
        <w:tc>
          <w:tcPr>
            <w:tcW w:w="2276" w:type="dxa"/>
          </w:tcPr>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lastRenderedPageBreak/>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 xml:space="preserve">Оцените функции представительского офиса производителя газотурбинного оборудования с точки зрения возникновения постоянного представительства в целях налогообложения в </w:t>
            </w:r>
            <w:r>
              <w:rPr>
                <w:rFonts w:ascii="Times New Roman" w:hAnsi="Times New Roman" w:cs="Times New Roman"/>
                <w:sz w:val="24"/>
                <w:szCs w:val="24"/>
              </w:rPr>
              <w:lastRenderedPageBreak/>
              <w:t>Индии, Саудовской Аравии, Казахстане, России.</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t>Задание 2.</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Обоснуйте решение по выбору юрисдикции для осуществления НИОКР по разработке бытовых аккумуляторов, использующих возобновляемую энергию.</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tc>
      </w:tr>
      <w:tr w:rsidR="0024195A">
        <w:tc>
          <w:tcPr>
            <w:tcW w:w="1957" w:type="dxa"/>
            <w:vMerge/>
          </w:tcPr>
          <w:p w:rsidR="0024195A" w:rsidRDefault="0024195A">
            <w:pPr>
              <w:widowControl w:val="0"/>
              <w:spacing w:after="0" w:line="240" w:lineRule="auto"/>
              <w:jc w:val="both"/>
              <w:rPr>
                <w:rFonts w:ascii="Times New Roman" w:eastAsia="Times New Roman" w:hAnsi="Times New Roman"/>
                <w:sz w:val="28"/>
                <w:szCs w:val="28"/>
              </w:rPr>
            </w:pPr>
          </w:p>
        </w:tc>
        <w:tc>
          <w:tcPr>
            <w:tcW w:w="2533" w:type="dxa"/>
          </w:tcPr>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t>2.Создает и модифицирует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особенностей компаний, условий функционирования отрасли, международных и национальных тенденций развития энергетической деятельности</w:t>
            </w:r>
          </w:p>
        </w:tc>
        <w:tc>
          <w:tcPr>
            <w:tcW w:w="2578"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Знать особенности налогового планирования деятельности энергетических компаний с учетом развития условий функционирования отрасли</w:t>
            </w: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Уметь учитывать налоговый фактор при формировании стратегии ведения бизнеса российскими и зарубежными энергетическими компаниями с учетом национальной налоговой политики и международных тенденций в налогообложении</w:t>
            </w:r>
          </w:p>
        </w:tc>
        <w:tc>
          <w:tcPr>
            <w:tcW w:w="2276" w:type="dxa"/>
          </w:tcPr>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Используя кейс Крейн Марин Контрактор (А06-9573/2016) составьте рекомендации по снижению налоговых рисков при участии российских организаций в проектах по разработке морских месторождениях.</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t>Задание 2.</w:t>
            </w:r>
          </w:p>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t>Раскройте порядок налогообложения операций по трансграничной аренде ловильного, бурового оборудования и инструментов с учетом положений НК РФ, соглашений об избежании двойного налогообложения и российской судебной практики.</w:t>
            </w:r>
          </w:p>
        </w:tc>
      </w:tr>
    </w:tbl>
    <w:p w:rsidR="0024195A" w:rsidRDefault="0024195A">
      <w:pPr>
        <w:spacing w:after="0" w:line="240" w:lineRule="auto"/>
        <w:ind w:firstLine="709"/>
        <w:jc w:val="both"/>
        <w:rPr>
          <w:rFonts w:ascii="Times New Roman" w:hAnsi="Times New Roman" w:cs="Times New Roman"/>
          <w:b/>
          <w:sz w:val="28"/>
          <w:szCs w:val="28"/>
        </w:rPr>
      </w:pPr>
    </w:p>
    <w:p w:rsidR="0024195A" w:rsidRDefault="003A638A">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Вопросы для подготовки к экзамену</w:t>
      </w:r>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Роль энергетических компаний в формировании доходов бюджетов бюджетной системы Российской Федерации.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направления налоговой политики в регулировании энергетического сектора в России и за рубежом.</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Роль соглашений о свободной торговле и таможенных союзов в развитии энергетического сектора.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Влияние налогов на финансовый результат деятельности промышленных организаций.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Понятие эффективной налоговой ставки в налоговом планировании. Применение показателя эффективной налоговой ставки в целях налогообложения, налогового администрирования, международного налогового контроля и международного налогообложения.</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исчисления и уплаты НДС при оказании услуг, производстве строительно-монтажных работ, приобретении товаров для собственных нужд в энергетических компаниях.</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признания расходов энергетических компаний, связанных с производством и реализацией.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признания расходов по строительству путепроводов для транспортировки продуктов переработки полезных ископаемых.</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Инструменты налогового стимулирования энергетических компаний.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налогового регулирования трансфертных цен энергетических компаний, возможности симметричных корректировок при осуществлении трансграничных операций.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налогообложения недвижимого имущества энергетических компаний. Понятие недвижимого имущество, его признаки, выделенные в нормативно-правовых актах, тенденции судебной практики по вопросам налогообложения недвижимого имущества.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Роль соглашений о разделе затрат и соглашений о разделе продукции в международном налоговом планировании деятельности энергетических компаний.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Корпоративное планирование в налогообложении как функция управления финансами: содержание и связь с другими звеньями управления.</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Международная налоговая стратегия энергетических компаний: цели и задачи, этапы разработки.</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Документальное сопровождение налогового планирования.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Основы реализации налоговой юрисдикции государств.</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Понятие и признаки недобросовестной конкуренции налоговых систем.</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определения налогового статуса организаций и физических лиц, последствия смены налогового резидентства.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lastRenderedPageBreak/>
        <w:t xml:space="preserve">Налоговая редомициляция: понятие, признаки, механизм. Корпоративная инверсия.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Причины возникновения и методы устранения многократного международного налогообложения.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Постоянное представительство иностранной организации: особенности возникновения при осуществлении добычи, производства и транспортировки, хранения энергоресурсов.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Методология налогообложения доходов постоянного представительства и головной иностранной организации.</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Особенности налогообложения инвестиционных доходов иностранной организации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Налогообложение доходов и имущества российских энергетических компаний, осуществляющих деятельность за рубежом.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Международные соглашения по вопросам налогообложения. Взаимодействие национального законодательства и международных соглашений.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Применение международных налоговых соглашений при разработке месторождений, производстве энергетических ресурсов, транспортировке природных ресурсов и энергетических продуктов.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налогообложения международных перевозок энергетических ресурсов. Морские перевозки. Трубопроводы.</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Роль международных налоговых соглашений при распределении доходов и расходов постоянного представительства и головной компании.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подходы международных налоговых соглашений к налогообложению пассивных доходов и капитала.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Направления международного взаимодействия налоговых органов</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Роль концепции КИК в налоговом регулировании ТНК энергетического сектора.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Развитие концепции существенного экономического присутствия в международном налогообложении.</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bookmarkStart w:id="22" w:name="_Hlk88085832"/>
      <w:r>
        <w:rPr>
          <w:rFonts w:ascii="Times New Roman" w:eastAsia="Times New Roman" w:hAnsi="Times New Roman" w:cs="Times New Roman"/>
          <w:color w:val="000000" w:themeColor="text1"/>
          <w:sz w:val="28"/>
        </w:rPr>
        <w:t>Противодействие недобросовестному применению налоговых льгот, предусмотренных международными налоговыми соглашениями.</w:t>
      </w:r>
      <w:bookmarkEnd w:id="22"/>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spacing w:after="0" w:line="360" w:lineRule="auto"/>
        <w:ind w:firstLine="709"/>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Пример экзаменационного билета</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Вопрос 1 (10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Раскройте понятие налогового планирования, перечислите финансовые показатели результативности налогового планирования. Охарактеризуйте влияние налогов на финансовые результаты деятельности организации.</w:t>
      </w:r>
    </w:p>
    <w:p w:rsidR="0024195A" w:rsidRDefault="0024195A">
      <w:pPr>
        <w:spacing w:after="0" w:line="240" w:lineRule="auto"/>
        <w:ind w:firstLine="709"/>
        <w:jc w:val="both"/>
        <w:rPr>
          <w:rFonts w:ascii="Times New Roman" w:hAnsi="Times New Roman" w:cs="Times New Roman"/>
          <w:bCs/>
          <w:color w:val="000000" w:themeColor="text1"/>
          <w:sz w:val="28"/>
          <w:szCs w:val="28"/>
        </w:rPr>
      </w:pP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Вопрос 2 (20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Иностранный буровой подрядчик Drill Inc (Китай) в 2002 году учредил российскую компанию Drill Rus, которая за последнее время открыла несколько филиалов в России. Для участия в соглашении о разделе прибыли </w:t>
      </w:r>
      <w:r>
        <w:rPr>
          <w:rFonts w:ascii="Times New Roman" w:hAnsi="Times New Roman" w:cs="Times New Roman"/>
          <w:bCs/>
          <w:color w:val="000000" w:themeColor="text1"/>
          <w:sz w:val="28"/>
          <w:szCs w:val="28"/>
        </w:rPr>
        <w:lastRenderedPageBreak/>
        <w:t>«</w:t>
      </w:r>
      <w:r>
        <w:rPr>
          <w:rFonts w:ascii="Times New Roman" w:hAnsi="Times New Roman" w:cs="Times New Roman"/>
          <w:bCs/>
          <w:color w:val="000000" w:themeColor="text1"/>
          <w:sz w:val="28"/>
          <w:szCs w:val="28"/>
          <w:lang w:val="en-US"/>
        </w:rPr>
        <w:t>Drill</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Rus</w:t>
      </w:r>
      <w:r>
        <w:rPr>
          <w:rFonts w:ascii="Times New Roman" w:hAnsi="Times New Roman" w:cs="Times New Roman"/>
          <w:bCs/>
          <w:color w:val="000000" w:themeColor="text1"/>
          <w:sz w:val="28"/>
          <w:szCs w:val="28"/>
        </w:rPr>
        <w:t>» совместно с «</w:t>
      </w:r>
      <w:r>
        <w:rPr>
          <w:rFonts w:ascii="Times New Roman" w:hAnsi="Times New Roman" w:cs="Times New Roman"/>
          <w:bCs/>
          <w:color w:val="000000" w:themeColor="text1"/>
          <w:sz w:val="28"/>
          <w:szCs w:val="28"/>
          <w:lang w:val="en-US"/>
        </w:rPr>
        <w:t>Drill</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In</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Sarl</w:t>
      </w:r>
      <w:r>
        <w:rPr>
          <w:rFonts w:ascii="Times New Roman" w:hAnsi="Times New Roman" w:cs="Times New Roman"/>
          <w:bCs/>
          <w:color w:val="000000" w:themeColor="text1"/>
          <w:sz w:val="28"/>
          <w:szCs w:val="28"/>
        </w:rPr>
        <w:t xml:space="preserve">» (Индия) создали еще одну российскую компанию </w:t>
      </w:r>
      <w:r>
        <w:rPr>
          <w:rFonts w:ascii="Times New Roman" w:hAnsi="Times New Roman" w:cs="Times New Roman"/>
          <w:bCs/>
          <w:color w:val="000000" w:themeColor="text1"/>
          <w:sz w:val="28"/>
          <w:szCs w:val="28"/>
          <w:lang w:val="en-US"/>
        </w:rPr>
        <w:t xml:space="preserve">«Drill In Rus». </w:t>
      </w:r>
      <w:r>
        <w:rPr>
          <w:rFonts w:ascii="Times New Roman" w:hAnsi="Times New Roman" w:cs="Times New Roman"/>
          <w:bCs/>
          <w:color w:val="000000" w:themeColor="text1"/>
          <w:sz w:val="28"/>
          <w:szCs w:val="28"/>
        </w:rPr>
        <w:t>Доля</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Drill</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Rus</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составила</w:t>
      </w:r>
      <w:r w:rsidRPr="00F40CA6">
        <w:rPr>
          <w:rFonts w:ascii="Times New Roman" w:hAnsi="Times New Roman" w:cs="Times New Roman"/>
          <w:bCs/>
          <w:color w:val="000000" w:themeColor="text1"/>
          <w:sz w:val="28"/>
          <w:szCs w:val="28"/>
        </w:rPr>
        <w:t xml:space="preserve"> 51%, «</w:t>
      </w:r>
      <w:r>
        <w:rPr>
          <w:rFonts w:ascii="Times New Roman" w:hAnsi="Times New Roman" w:cs="Times New Roman"/>
          <w:bCs/>
          <w:color w:val="000000" w:themeColor="text1"/>
          <w:sz w:val="28"/>
          <w:szCs w:val="28"/>
          <w:lang w:val="en-US"/>
        </w:rPr>
        <w:t>Drill</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In</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Sarl</w:t>
      </w:r>
      <w:r w:rsidRPr="00F40CA6">
        <w:rPr>
          <w:rFonts w:ascii="Times New Roman" w:hAnsi="Times New Roman" w:cs="Times New Roman"/>
          <w:bCs/>
          <w:color w:val="000000" w:themeColor="text1"/>
          <w:sz w:val="28"/>
          <w:szCs w:val="28"/>
        </w:rPr>
        <w:t xml:space="preserve">» – 49%. </w:t>
      </w:r>
      <w:r>
        <w:rPr>
          <w:rFonts w:ascii="Times New Roman" w:hAnsi="Times New Roman" w:cs="Times New Roman"/>
          <w:bCs/>
          <w:color w:val="000000" w:themeColor="text1"/>
          <w:sz w:val="28"/>
          <w:szCs w:val="28"/>
        </w:rPr>
        <w:t>Капитал «</w:t>
      </w:r>
      <w:r>
        <w:rPr>
          <w:rFonts w:ascii="Times New Roman" w:hAnsi="Times New Roman" w:cs="Times New Roman"/>
          <w:bCs/>
          <w:color w:val="000000" w:themeColor="text1"/>
          <w:sz w:val="28"/>
          <w:szCs w:val="28"/>
          <w:lang w:val="en-US"/>
        </w:rPr>
        <w:t>Drill</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In</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Rus</w:t>
      </w:r>
      <w:r>
        <w:rPr>
          <w:rFonts w:ascii="Times New Roman" w:hAnsi="Times New Roman" w:cs="Times New Roman"/>
          <w:bCs/>
          <w:color w:val="000000" w:themeColor="text1"/>
          <w:sz w:val="28"/>
          <w:szCs w:val="28"/>
        </w:rPr>
        <w:t>» на момент регистрации составлял 250 000 долларов США. Компании Drill Inc, Drill Rus, Drill I</w:t>
      </w:r>
      <w:r>
        <w:rPr>
          <w:rFonts w:ascii="Times New Roman" w:hAnsi="Times New Roman" w:cs="Times New Roman"/>
          <w:bCs/>
          <w:color w:val="000000" w:themeColor="text1"/>
          <w:sz w:val="28"/>
          <w:szCs w:val="28"/>
          <w:lang w:val="en-US"/>
        </w:rPr>
        <w:t>n</w:t>
      </w:r>
      <w:r>
        <w:rPr>
          <w:rFonts w:ascii="Times New Roman" w:hAnsi="Times New Roman" w:cs="Times New Roman"/>
          <w:bCs/>
          <w:color w:val="000000" w:themeColor="text1"/>
          <w:sz w:val="28"/>
          <w:szCs w:val="28"/>
        </w:rPr>
        <w:t xml:space="preserve"> Sarl входят в состав ТНК, головная компания Drill Inc. Drill In Rus приняла решение распределить прибыль за 2020 год среди своих акционеров. Общая распределяемая прибыль составила 10 млн руб., из которых 5,1 млн руб. были распределены компании «Drill Rus», оставшаяся часть – компании «Drill In Sarl». Прибыль была распределена в 2024 году.</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ЗАДАНИЕ:</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1.Рассчитайте с учетом налога на владение имуществом (WHT), подлежащего уплате в России. (10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2.Поясните свои расчеты со ссылкой на Налоговый кодекс РФ, международные налоговые соглашения. (8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3.Укажите дату уплаты налога на прибыль (2 балла)</w:t>
      </w:r>
    </w:p>
    <w:p w:rsidR="0024195A" w:rsidRDefault="0024195A">
      <w:pPr>
        <w:spacing w:after="0" w:line="240" w:lineRule="auto"/>
        <w:ind w:firstLine="709"/>
        <w:jc w:val="both"/>
        <w:rPr>
          <w:rFonts w:ascii="Times New Roman" w:hAnsi="Times New Roman" w:cs="Times New Roman"/>
          <w:sz w:val="24"/>
          <w:szCs w:val="24"/>
        </w:rPr>
      </w:pPr>
    </w:p>
    <w:p w:rsidR="0024195A" w:rsidRDefault="0024195A">
      <w:pPr>
        <w:spacing w:after="0" w:line="240" w:lineRule="auto"/>
        <w:ind w:firstLine="709"/>
        <w:jc w:val="both"/>
        <w:rPr>
          <w:rFonts w:ascii="Times New Roman" w:hAnsi="Times New Roman" w:cs="Times New Roman"/>
          <w:bCs/>
          <w:color w:val="000000" w:themeColor="text1"/>
          <w:sz w:val="28"/>
          <w:szCs w:val="28"/>
        </w:rPr>
      </w:pP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Вопрос 3 (30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Компания X, зарегистрированная в стране X, занимается производством нефтедобывающих платформ, трубопроводов и другого оборудования, заключает контракты на установку нефтяных платформ, покрытие трубопроводов на различных объектах. Компания Х выиграла тендер и заключила договор с Компанией W, зарегистрированной в стране W.  Договор включает работы, связанные с установкой, испытанием и вводом в эксплуатацию платформ, все работы проводились в стране W, начиная с мая и завершились к концу сентября того же года. Часть работ выполнялась через проектный офис в стране W. Сотрудники проектного офиса не участвовали в надзоре за проектной документацией. Компания X не вела отдельные бухгалтерские книги, относящиеся к контракту. Предварительная инспекция и исследования были проведены в стране W независимым подрядчиком Q Inc., резидентом страны Y, в апреле.</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ЗАДАНИЕ:</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Объясните, создает ли деятельность компании X постоянное представительство (ПП). В ответе продемонстрируйте знание критериев постоянного представительства, типов постоянного представительства, исключений из статуса постоянного представительства.</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Ответ считается полным при обосновании решения положениями Модельной налоговой конвенции ОЭСР, судебной практикой. </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При решении задания использование Модельной налоговой конвенции ОЭСР НЕ предусмотрено.</w:t>
      </w:r>
    </w:p>
    <w:p w:rsidR="0024195A" w:rsidRDefault="0024195A">
      <w:pPr>
        <w:spacing w:after="0" w:line="240" w:lineRule="auto"/>
        <w:ind w:firstLine="709"/>
        <w:jc w:val="both"/>
        <w:rPr>
          <w:rFonts w:ascii="Times New Roman" w:hAnsi="Times New Roman" w:cs="Times New Roman"/>
          <w:bCs/>
          <w:color w:val="000000" w:themeColor="text1"/>
          <w:sz w:val="24"/>
          <w:szCs w:val="24"/>
        </w:rPr>
      </w:pP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7.3 Методические материалы, определяющие процедуры оценивания знаний, умений и навыков. </w:t>
      </w:r>
    </w:p>
    <w:p w:rsidR="0024195A" w:rsidRDefault="003A638A">
      <w:pPr>
        <w:spacing w:after="0" w:line="240" w:lineRule="auto"/>
        <w:ind w:firstLine="709"/>
        <w:jc w:val="both"/>
        <w:rPr>
          <w:rFonts w:ascii="Times New Roman" w:hAnsi="Times New Roman" w:cs="Times New Roman"/>
          <w:sz w:val="28"/>
          <w:szCs w:val="28"/>
          <w:lang w:eastAsia="en-US"/>
        </w:rPr>
      </w:pPr>
      <w:r>
        <w:rPr>
          <w:rFonts w:ascii="Times New Roman" w:eastAsia="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w:t>
      </w:r>
      <w:r>
        <w:rPr>
          <w:rFonts w:ascii="Times New Roman" w:eastAsia="Times New Roman" w:hAnsi="Times New Roman" w:cs="Times New Roman"/>
          <w:sz w:val="28"/>
          <w:szCs w:val="28"/>
        </w:rPr>
        <w:lastRenderedPageBreak/>
        <w:t>обучающихся по программам бакалавриата и магистратуры в Финансовом университете»</w:t>
      </w:r>
      <w:r>
        <w:rPr>
          <w:rFonts w:ascii="Times New Roman" w:hAnsi="Times New Roman" w:cs="Times New Roman"/>
          <w:sz w:val="28"/>
          <w:szCs w:val="28"/>
          <w:lang w:eastAsia="en-US"/>
        </w:rPr>
        <w:t xml:space="preserve"> и приказы филиалов по данному вопросу.</w:t>
      </w:r>
    </w:p>
    <w:p w:rsidR="0024195A" w:rsidRDefault="0024195A">
      <w:pPr>
        <w:spacing w:after="0" w:line="240" w:lineRule="auto"/>
        <w:ind w:firstLine="709"/>
        <w:jc w:val="both"/>
        <w:rPr>
          <w:rFonts w:ascii="Times New Roman" w:hAnsi="Times New Roman" w:cs="Times New Roman"/>
          <w:sz w:val="28"/>
          <w:szCs w:val="28"/>
          <w:lang w:eastAsia="en-US"/>
        </w:rPr>
      </w:pPr>
      <w:bookmarkStart w:id="23" w:name="_Toc11051336"/>
      <w:bookmarkEnd w:id="23"/>
    </w:p>
    <w:p w:rsidR="0024195A" w:rsidRDefault="003A638A">
      <w:pPr>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 Перечень основной и дополнительной учебной литературы, необходимой для освоения дисциплины</w:t>
      </w:r>
    </w:p>
    <w:p w:rsidR="0024195A" w:rsidRDefault="003A638A">
      <w:pPr>
        <w:keepNext/>
        <w:spacing w:after="0" w:line="240" w:lineRule="auto"/>
        <w:jc w:val="center"/>
        <w:outlineLvl w:val="1"/>
        <w:rPr>
          <w:rFonts w:ascii="Times New Roman" w:eastAsia="ヒラギノ角ゴ Pro W3" w:hAnsi="Times New Roman" w:cs="Times New Roman"/>
          <w:b/>
          <w:bCs/>
          <w:iCs/>
          <w:color w:val="FF0000"/>
          <w:sz w:val="28"/>
          <w:szCs w:val="28"/>
          <w:lang w:eastAsia="en-US"/>
        </w:rPr>
      </w:pPr>
      <w:r>
        <w:rPr>
          <w:rFonts w:ascii="Times New Roman" w:eastAsia="ヒラギノ角ゴ Pro W3" w:hAnsi="Times New Roman" w:cs="Times New Roman"/>
          <w:b/>
          <w:bCs/>
          <w:iCs/>
          <w:color w:val="000000"/>
          <w:sz w:val="28"/>
          <w:szCs w:val="28"/>
          <w:lang w:val="x-none" w:eastAsia="en-US"/>
        </w:rPr>
        <w:t>Нормативно-правовые акты</w:t>
      </w:r>
      <w:r>
        <w:rPr>
          <w:rFonts w:ascii="Times New Roman" w:eastAsia="ヒラギノ角ゴ Pro W3" w:hAnsi="Times New Roman" w:cs="Times New Roman"/>
          <w:b/>
          <w:bCs/>
          <w:iCs/>
          <w:color w:val="000000"/>
          <w:sz w:val="28"/>
          <w:szCs w:val="28"/>
          <w:lang w:eastAsia="en-US"/>
        </w:rPr>
        <w:t xml:space="preserve"> </w:t>
      </w:r>
    </w:p>
    <w:p w:rsidR="0024195A" w:rsidRDefault="003A638A">
      <w:pPr>
        <w:pStyle w:val="aff1"/>
        <w:numPr>
          <w:ilvl w:val="0"/>
          <w:numId w:val="2"/>
        </w:numPr>
        <w:ind w:left="0" w:firstLine="567"/>
        <w:contextualSpacing/>
        <w:jc w:val="both"/>
        <w:rPr>
          <w:color w:val="000000"/>
          <w:sz w:val="28"/>
          <w:szCs w:val="28"/>
          <w:u w:color="000000"/>
          <w:lang w:eastAsia="en-US"/>
        </w:rPr>
      </w:pPr>
      <w:r>
        <w:rPr>
          <w:color w:val="000000"/>
          <w:sz w:val="28"/>
          <w:szCs w:val="28"/>
          <w:u w:color="000000"/>
          <w:lang w:eastAsia="en-US"/>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rsidR="0024195A" w:rsidRDefault="003A638A">
      <w:pPr>
        <w:widowControl w:val="0"/>
        <w:numPr>
          <w:ilvl w:val="0"/>
          <w:numId w:val="2"/>
        </w:numPr>
        <w:spacing w:after="0" w:line="240" w:lineRule="auto"/>
        <w:ind w:left="0" w:firstLine="567"/>
        <w:jc w:val="both"/>
        <w:rPr>
          <w:rFonts w:ascii="Times New Roman" w:eastAsia="ヒラギノ角ゴ Pro W3" w:hAnsi="Times New Roman" w:cs="Times New Roman"/>
          <w:color w:val="000000"/>
          <w:sz w:val="28"/>
          <w:szCs w:val="28"/>
          <w:lang w:eastAsia="en-US"/>
        </w:rPr>
      </w:pPr>
      <w:r>
        <w:rPr>
          <w:rFonts w:ascii="Times New Roman" w:eastAsia="ヒラギノ角ゴ Pro W3" w:hAnsi="Times New Roman" w:cs="Times New Roman"/>
          <w:color w:val="000000"/>
          <w:sz w:val="28"/>
          <w:szCs w:val="28"/>
          <w:lang w:eastAsia="en-US"/>
        </w:rPr>
        <w:t xml:space="preserve">Гражданский кодекс Российской Федерации. </w:t>
      </w:r>
    </w:p>
    <w:p w:rsidR="0024195A" w:rsidRDefault="003A638A">
      <w:pPr>
        <w:widowControl w:val="0"/>
        <w:numPr>
          <w:ilvl w:val="0"/>
          <w:numId w:val="2"/>
        </w:numPr>
        <w:spacing w:after="0" w:line="240" w:lineRule="auto"/>
        <w:ind w:left="0" w:firstLine="567"/>
        <w:contextualSpacing/>
        <w:jc w:val="both"/>
        <w:rPr>
          <w:rFonts w:ascii="Times New Roman" w:eastAsia="Times New Roman" w:hAnsi="Times New Roman" w:cs="Times New Roman"/>
          <w:color w:val="000000"/>
          <w:sz w:val="28"/>
          <w:szCs w:val="28"/>
          <w:u w:color="000000"/>
          <w:lang w:eastAsia="en-US"/>
        </w:rPr>
      </w:pPr>
      <w:r>
        <w:rPr>
          <w:rFonts w:ascii="Times New Roman" w:eastAsia="Times New Roman" w:hAnsi="Times New Roman" w:cs="Times New Roman"/>
          <w:color w:val="000000"/>
          <w:sz w:val="28"/>
          <w:szCs w:val="28"/>
          <w:u w:color="000000"/>
          <w:lang w:eastAsia="en-US"/>
        </w:rPr>
        <w:t>Налоговый кодекс Российской Федерации (части первая и вторая) от 31.07.1998 N 146-ФЗ (принят ГД ФС РФ 16.07.1998).</w:t>
      </w:r>
    </w:p>
    <w:p w:rsidR="0024195A" w:rsidRDefault="003A638A">
      <w:pPr>
        <w:widowControl w:val="0"/>
        <w:numPr>
          <w:ilvl w:val="0"/>
          <w:numId w:val="2"/>
        </w:numPr>
        <w:spacing w:after="0" w:line="240" w:lineRule="auto"/>
        <w:ind w:left="0" w:firstLine="567"/>
        <w:jc w:val="both"/>
        <w:rPr>
          <w:rFonts w:ascii="Times New Roman" w:eastAsia="ヒラギノ角ゴ Pro W3" w:hAnsi="Times New Roman" w:cs="Times New Roman"/>
          <w:color w:val="000000"/>
          <w:sz w:val="28"/>
          <w:szCs w:val="28"/>
          <w:lang w:eastAsia="en-US"/>
        </w:rPr>
      </w:pPr>
      <w:r>
        <w:rPr>
          <w:rFonts w:ascii="Times New Roman" w:eastAsia="ヒラギノ角ゴ Pro W3" w:hAnsi="Times New Roman" w:cs="Times New Roman"/>
          <w:color w:val="000000"/>
          <w:sz w:val="28"/>
          <w:szCs w:val="28"/>
          <w:lang w:eastAsia="en-US"/>
        </w:rPr>
        <w:t>Кодекс РФ «Об административных правонарушениях» Федеральный закон от 30.12.01 №1950.</w:t>
      </w:r>
    </w:p>
    <w:p w:rsidR="0024195A" w:rsidRDefault="0024195A">
      <w:pPr>
        <w:spacing w:after="0" w:line="360" w:lineRule="auto"/>
        <w:ind w:left="927"/>
        <w:jc w:val="both"/>
        <w:rPr>
          <w:rFonts w:ascii="Times New Roman" w:eastAsia="Times New Roman" w:hAnsi="Times New Roman"/>
          <w:color w:val="000000"/>
          <w:sz w:val="28"/>
          <w:szCs w:val="28"/>
          <w:u w:color="000000"/>
        </w:rPr>
      </w:pPr>
    </w:p>
    <w:p w:rsidR="0024195A" w:rsidRDefault="003A638A">
      <w:pPr>
        <w:spacing w:line="240" w:lineRule="auto"/>
        <w:ind w:firstLine="709"/>
        <w:jc w:val="center"/>
        <w:rPr>
          <w:rFonts w:ascii="Times New Roman" w:eastAsia="Times New Roman" w:hAnsi="Times New Roman" w:cs="Times New Roman"/>
          <w:b/>
          <w:bCs/>
          <w:color w:val="FF0000"/>
          <w:sz w:val="28"/>
          <w:szCs w:val="28"/>
        </w:rPr>
      </w:pPr>
      <w:r>
        <w:rPr>
          <w:rFonts w:ascii="Times New Roman" w:eastAsia="Times New Roman" w:hAnsi="Times New Roman" w:cs="Times New Roman"/>
          <w:b/>
          <w:bCs/>
          <w:sz w:val="28"/>
          <w:szCs w:val="28"/>
        </w:rPr>
        <w:t>Основная литература:</w:t>
      </w:r>
      <w:r>
        <w:t xml:space="preserve"> </w:t>
      </w:r>
    </w:p>
    <w:p w:rsidR="0024195A" w:rsidRDefault="003A638A">
      <w:pPr>
        <w:numPr>
          <w:ilvl w:val="0"/>
          <w:numId w:val="14"/>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Полежарова Л.В. Международное налогообложение: современная теория и методология: монография / Л.В. Полежарова; Финуниверситет ; под ред. Л.И. Гончаренко. - Москва: Магистр, 2016. - 414 с. – Текст : непосредственный. - То же. - ЭБС ZNANIUM.com. - URL: https://new.znanium.com/catalog/product/527708 (дата обращения: 23.01.2024) - Текст : электронный.</w:t>
      </w:r>
    </w:p>
    <w:p w:rsidR="0024195A" w:rsidRDefault="003A638A">
      <w:pPr>
        <w:numPr>
          <w:ilvl w:val="0"/>
          <w:numId w:val="15"/>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Международное налоговое право: учебник и практикум для бакалавриата и магистратуры / А.А. Копина, А.В. Реут, Н.А. Соловьева, А.О. Якушев; Финуниверситет ; отв.  ред. А.А. Копина ,  А.В. Реут. - Москва: Юрайт, 2017. - 243 с. - (Серия : Бакалавр и магистр. Академический курс). – Текст : непосредственный. - То же. - 2023. - Образовательная платформа Юрайт [сайт]. — URL: https://urait.ru/bcode/533462 (дата обращения: 26.01.2024). — Текст : электронный.</w:t>
      </w:r>
    </w:p>
    <w:p w:rsidR="0024195A" w:rsidRDefault="0024195A">
      <w:pPr>
        <w:spacing w:after="0" w:line="240" w:lineRule="auto"/>
        <w:ind w:firstLine="709"/>
        <w:jc w:val="center"/>
        <w:rPr>
          <w:rFonts w:ascii="Times New Roman" w:eastAsia="ヒラギノ角ゴ Pro W3" w:hAnsi="Times New Roman" w:cs="Times New Roman"/>
          <w:b/>
          <w:iCs/>
          <w:color w:val="000000"/>
          <w:sz w:val="28"/>
          <w:szCs w:val="28"/>
          <w:lang w:eastAsia="en-US"/>
        </w:rPr>
      </w:pPr>
    </w:p>
    <w:p w:rsidR="0024195A" w:rsidRDefault="003A638A">
      <w:pPr>
        <w:spacing w:after="0" w:line="240" w:lineRule="auto"/>
        <w:ind w:firstLine="709"/>
        <w:jc w:val="center"/>
        <w:rPr>
          <w:rFonts w:ascii="Times New Roman" w:eastAsia="ヒラギノ角ゴ Pro W3" w:hAnsi="Times New Roman" w:cs="Times New Roman"/>
          <w:b/>
          <w:iCs/>
          <w:color w:val="000000"/>
          <w:sz w:val="28"/>
          <w:szCs w:val="28"/>
          <w:lang w:eastAsia="en-US"/>
        </w:rPr>
      </w:pPr>
      <w:r>
        <w:rPr>
          <w:rFonts w:ascii="Times New Roman" w:eastAsia="ヒラギノ角ゴ Pro W3" w:hAnsi="Times New Roman" w:cs="Times New Roman"/>
          <w:b/>
          <w:iCs/>
          <w:color w:val="000000"/>
          <w:sz w:val="28"/>
          <w:szCs w:val="28"/>
          <w:lang w:eastAsia="en-US"/>
        </w:rPr>
        <w:t>Дополнительная литература</w:t>
      </w:r>
    </w:p>
    <w:p w:rsidR="0024195A" w:rsidRDefault="0024195A">
      <w:pPr>
        <w:spacing w:after="0" w:line="240" w:lineRule="auto"/>
        <w:ind w:firstLine="709"/>
        <w:jc w:val="center"/>
        <w:rPr>
          <w:rFonts w:ascii="Times New Roman" w:eastAsia="ヒラギノ角ゴ Pro W3" w:hAnsi="Times New Roman" w:cs="Times New Roman"/>
          <w:b/>
          <w:iCs/>
          <w:color w:val="000000"/>
          <w:sz w:val="28"/>
          <w:szCs w:val="28"/>
          <w:lang w:eastAsia="en-US"/>
        </w:rPr>
      </w:pPr>
    </w:p>
    <w:p w:rsidR="0024195A" w:rsidRDefault="003A638A">
      <w:pPr>
        <w:numPr>
          <w:ilvl w:val="0"/>
          <w:numId w:val="16"/>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Хаванова, И. А. Толкование и применение соглашений об избежании двойного налогообложения в условиях действия многосторонней Конвенции : монография / И. А. Хаванова. — Москва : Прометей, 2022. — 338 с. — ISBN 978-5-00172-287-8. —  Лань : электронно-библиотечная система. — URL: https://e.lanbook.com/book/220907 (дата обращения: 29.01.2024). — Текст : электронный.</w:t>
      </w:r>
    </w:p>
    <w:p w:rsidR="0024195A" w:rsidRDefault="003A638A">
      <w:pPr>
        <w:numPr>
          <w:ilvl w:val="0"/>
          <w:numId w:val="1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Российские инициативы в области международного налогообложения - изменение международного налогового ландшафта : доклад / Н. Ю. Корниенко, А. Ф. Богатырева, Г. А. Королев [и др.] ; под ред. Н. Ю. Корниенко. - Москва : Дело (РАНХиГС), 2021. - 120 с. - (Научные доклады: налоги). - </w:t>
      </w:r>
      <w:r>
        <w:rPr>
          <w:rFonts w:ascii="Times New Roman" w:eastAsia="Times New Roman" w:hAnsi="Times New Roman" w:cs="Times New Roman"/>
          <w:sz w:val="28"/>
          <w:szCs w:val="28"/>
          <w:lang w:val="en-US"/>
        </w:rPr>
        <w:t>ISBN</w:t>
      </w:r>
      <w:r>
        <w:rPr>
          <w:rFonts w:ascii="Times New Roman" w:eastAsia="Times New Roman" w:hAnsi="Times New Roman" w:cs="Times New Roman"/>
          <w:sz w:val="28"/>
          <w:szCs w:val="28"/>
        </w:rPr>
        <w:t xml:space="preserve"> 978-5-85006-383-2. – ЭБС </w:t>
      </w:r>
      <w:r>
        <w:rPr>
          <w:rFonts w:ascii="Times New Roman" w:eastAsia="Times New Roman" w:hAnsi="Times New Roman" w:cs="Times New Roman"/>
          <w:sz w:val="28"/>
          <w:szCs w:val="28"/>
          <w:lang w:val="en-US"/>
        </w:rPr>
        <w:t>ZNANIUM</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URL</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lastRenderedPageBreak/>
        <w:t>https</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znaniu</w:t>
      </w:r>
      <w:r>
        <w:rPr>
          <w:rFonts w:ascii="Times New Roman" w:eastAsia="Times New Roman" w:hAnsi="Times New Roman" w:cs="Times New Roman"/>
          <w:sz w:val="28"/>
          <w:szCs w:val="28"/>
        </w:rPr>
        <w:t>m.com/catalog/product/1920386 (дата обращения: 29.01.2024). – Текст : электронный.</w:t>
      </w:r>
    </w:p>
    <w:p w:rsidR="0024195A" w:rsidRDefault="003A638A">
      <w:pPr>
        <w:pStyle w:val="1"/>
      </w:pPr>
      <w:bookmarkStart w:id="24" w:name="_30j0zll"/>
      <w:bookmarkStart w:id="25" w:name="_Toc11051337"/>
      <w:bookmarkEnd w:id="24"/>
      <w:r>
        <w:t>9. Перечень ресурсов информационно-телекоммуникационной сети «Интернет», необходимых для освоения дисциплины</w:t>
      </w:r>
      <w:bookmarkEnd w:id="25"/>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sz w:val="28"/>
          <w:szCs w:val="28"/>
        </w:rPr>
        <w:t xml:space="preserve">www.quote.ru — финансовые показатели российских предприятий </w:t>
      </w:r>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sz w:val="28"/>
          <w:szCs w:val="28"/>
        </w:rPr>
        <w:t xml:space="preserve">www.raexpert.ru — Рейтинговое агентство ЭКСПЕРТ РА </w:t>
      </w:r>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sz w:val="28"/>
          <w:szCs w:val="28"/>
        </w:rPr>
        <w:t xml:space="preserve">www.rbc.ru — РИА РБК </w:t>
      </w:r>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http://www.consultant.ru/ - СПС Консультант Плюс.</w:t>
      </w:r>
    </w:p>
    <w:p w:rsidR="0024195A" w:rsidRDefault="009A0A6E">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hyperlink r:id="rId11">
        <w:r w:rsidR="003A638A">
          <w:rPr>
            <w:rFonts w:ascii="Times New Roman" w:eastAsia="Times New Roman" w:hAnsi="Times New Roman" w:cs="Times New Roman"/>
            <w:color w:val="000000"/>
            <w:sz w:val="28"/>
            <w:szCs w:val="28"/>
            <w:shd w:val="clear" w:color="auto" w:fill="FFFFFF"/>
          </w:rPr>
          <w:t>http://www/garant.ru/</w:t>
        </w:r>
      </w:hyperlink>
      <w:r w:rsidR="003A638A">
        <w:rPr>
          <w:rFonts w:ascii="Times New Roman" w:eastAsia="Times New Roman" w:hAnsi="Times New Roman" w:cs="Times New Roman"/>
          <w:color w:val="000000"/>
          <w:sz w:val="28"/>
          <w:szCs w:val="28"/>
          <w:shd w:val="clear" w:color="auto" w:fill="FFFFFF"/>
        </w:rPr>
        <w:t xml:space="preserve"> - СПС Гарант. </w:t>
      </w:r>
    </w:p>
    <w:p w:rsidR="0024195A" w:rsidRDefault="003A638A">
      <w:pPr>
        <w:pStyle w:val="aff1"/>
        <w:numPr>
          <w:ilvl w:val="0"/>
          <w:numId w:val="4"/>
        </w:numPr>
        <w:rPr>
          <w:color w:val="000000"/>
          <w:sz w:val="28"/>
          <w:szCs w:val="28"/>
        </w:rPr>
      </w:pPr>
      <w:r>
        <w:rPr>
          <w:color w:val="000000"/>
          <w:sz w:val="28"/>
          <w:szCs w:val="28"/>
        </w:rPr>
        <w:t>www.minfin.ru — Министерство финансов Российской Федерации</w:t>
      </w:r>
    </w:p>
    <w:p w:rsidR="0024195A" w:rsidRDefault="003A638A">
      <w:pPr>
        <w:pStyle w:val="aff1"/>
        <w:numPr>
          <w:ilvl w:val="0"/>
          <w:numId w:val="4"/>
        </w:numPr>
        <w:rPr>
          <w:color w:val="000000"/>
          <w:sz w:val="28"/>
          <w:szCs w:val="28"/>
        </w:rPr>
      </w:pPr>
      <w:r>
        <w:rPr>
          <w:color w:val="000000"/>
          <w:sz w:val="28"/>
          <w:szCs w:val="28"/>
        </w:rPr>
        <w:t xml:space="preserve">www.nalog.ru — Федеральная налоговая служба </w:t>
      </w:r>
    </w:p>
    <w:p w:rsidR="0024195A" w:rsidRDefault="003A638A">
      <w:pPr>
        <w:pStyle w:val="aff1"/>
        <w:numPr>
          <w:ilvl w:val="0"/>
          <w:numId w:val="4"/>
        </w:numPr>
        <w:rPr>
          <w:color w:val="000000"/>
          <w:sz w:val="28"/>
          <w:szCs w:val="28"/>
        </w:rPr>
      </w:pPr>
      <w:r>
        <w:rPr>
          <w:color w:val="000000"/>
          <w:sz w:val="28"/>
          <w:szCs w:val="28"/>
        </w:rPr>
        <w:t xml:space="preserve">www.prime-tass.ru — Агентство экономической информации </w:t>
      </w:r>
    </w:p>
    <w:p w:rsidR="0024195A" w:rsidRDefault="003A638A">
      <w:pPr>
        <w:pStyle w:val="aff1"/>
        <w:numPr>
          <w:ilvl w:val="0"/>
          <w:numId w:val="4"/>
        </w:numPr>
        <w:rPr>
          <w:color w:val="000000"/>
          <w:sz w:val="28"/>
          <w:szCs w:val="28"/>
        </w:rPr>
      </w:pPr>
      <w:r>
        <w:rPr>
          <w:color w:val="000000"/>
          <w:sz w:val="28"/>
          <w:szCs w:val="28"/>
        </w:rPr>
        <w:t>Электронные ресурсы БИК</w:t>
      </w:r>
      <w:r>
        <w:rPr>
          <w:color w:val="000000"/>
          <w:sz w:val="28"/>
          <w:szCs w:val="28"/>
          <w:lang w:val="en-US"/>
        </w:rPr>
        <w:t>:</w:t>
      </w:r>
    </w:p>
    <w:p w:rsidR="0024195A" w:rsidRDefault="003A638A">
      <w:pPr>
        <w:pStyle w:val="aff1"/>
        <w:numPr>
          <w:ilvl w:val="0"/>
          <w:numId w:val="5"/>
        </w:numPr>
        <w:rPr>
          <w:color w:val="000000"/>
          <w:sz w:val="28"/>
          <w:szCs w:val="28"/>
        </w:rPr>
      </w:pPr>
      <w:r>
        <w:rPr>
          <w:color w:val="000000"/>
          <w:sz w:val="28"/>
          <w:szCs w:val="28"/>
        </w:rPr>
        <w:t xml:space="preserve">Электронная библиотека Финансового университета (ЭБ) </w:t>
      </w:r>
      <w:r>
        <w:rPr>
          <w:color w:val="000000"/>
          <w:sz w:val="28"/>
          <w:szCs w:val="28"/>
          <w:lang w:val="en-US"/>
        </w:rPr>
        <w:t>http</w:t>
      </w:r>
      <w:r>
        <w:rPr>
          <w:color w:val="000000"/>
          <w:sz w:val="28"/>
          <w:szCs w:val="28"/>
        </w:rPr>
        <w:t>://</w:t>
      </w:r>
      <w:r>
        <w:rPr>
          <w:color w:val="000000"/>
          <w:sz w:val="28"/>
          <w:szCs w:val="28"/>
          <w:lang w:val="en-US"/>
        </w:rPr>
        <w:t>elib</w:t>
      </w:r>
      <w:r>
        <w:rPr>
          <w:color w:val="000000"/>
          <w:sz w:val="28"/>
          <w:szCs w:val="28"/>
        </w:rPr>
        <w:t>.</w:t>
      </w:r>
      <w:r>
        <w:rPr>
          <w:color w:val="000000"/>
          <w:sz w:val="28"/>
          <w:szCs w:val="28"/>
          <w:lang w:val="en-US"/>
        </w:rPr>
        <w:t>fa</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book</w:t>
      </w:r>
      <w:r>
        <w:rPr>
          <w:color w:val="000000"/>
          <w:sz w:val="28"/>
          <w:szCs w:val="28"/>
        </w:rPr>
        <w:t>.</w:t>
      </w:r>
      <w:r>
        <w:rPr>
          <w:color w:val="000000"/>
          <w:sz w:val="28"/>
          <w:szCs w:val="28"/>
          <w:lang w:val="en-US"/>
        </w:rPr>
        <w:t>ru</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«Университетская библиотека ОНЛАЙН» </w:t>
      </w:r>
      <w:r>
        <w:rPr>
          <w:color w:val="000000"/>
          <w:sz w:val="28"/>
          <w:szCs w:val="28"/>
          <w:lang w:val="en-US"/>
        </w:rPr>
        <w:t>http</w:t>
      </w:r>
      <w:r>
        <w:rPr>
          <w:color w:val="000000"/>
          <w:sz w:val="28"/>
          <w:szCs w:val="28"/>
        </w:rPr>
        <w:t>://</w:t>
      </w:r>
      <w:r>
        <w:rPr>
          <w:color w:val="000000"/>
          <w:sz w:val="28"/>
          <w:szCs w:val="28"/>
          <w:lang w:val="en-US"/>
        </w:rPr>
        <w:t>biblioclub</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w:t>
      </w:r>
      <w:r>
        <w:rPr>
          <w:color w:val="000000"/>
          <w:sz w:val="28"/>
          <w:szCs w:val="28"/>
          <w:lang w:val="en-US"/>
        </w:rPr>
        <w:t>Znanium</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znanium</w:t>
      </w:r>
      <w:r>
        <w:rPr>
          <w:color w:val="000000"/>
          <w:sz w:val="28"/>
          <w:szCs w:val="28"/>
        </w:rPr>
        <w:t>.</w:t>
      </w:r>
      <w:r>
        <w:rPr>
          <w:color w:val="000000"/>
          <w:sz w:val="28"/>
          <w:szCs w:val="28"/>
          <w:lang w:val="en-US"/>
        </w:rPr>
        <w:t>com</w:t>
      </w:r>
    </w:p>
    <w:p w:rsidR="0024195A" w:rsidRDefault="003A638A">
      <w:pPr>
        <w:pStyle w:val="aff1"/>
        <w:numPr>
          <w:ilvl w:val="0"/>
          <w:numId w:val="5"/>
        </w:numPr>
        <w:rPr>
          <w:color w:val="000000"/>
          <w:sz w:val="28"/>
          <w:szCs w:val="28"/>
        </w:rPr>
      </w:pPr>
      <w:r>
        <w:rPr>
          <w:color w:val="000000"/>
          <w:sz w:val="28"/>
          <w:szCs w:val="28"/>
        </w:rPr>
        <w:t xml:space="preserve">Образовательная платформа Юрайт </w:t>
      </w:r>
      <w:r>
        <w:rPr>
          <w:color w:val="000000"/>
          <w:sz w:val="28"/>
          <w:szCs w:val="28"/>
          <w:lang w:val="en-US"/>
        </w:rPr>
        <w:t>https</w:t>
      </w:r>
      <w:r>
        <w:rPr>
          <w:color w:val="000000"/>
          <w:sz w:val="28"/>
          <w:szCs w:val="28"/>
        </w:rPr>
        <w:t>://</w:t>
      </w:r>
      <w:r>
        <w:rPr>
          <w:color w:val="000000"/>
          <w:sz w:val="28"/>
          <w:szCs w:val="28"/>
          <w:lang w:val="en-US"/>
        </w:rPr>
        <w:t>urait</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издательства Лань </w:t>
      </w:r>
      <w:r>
        <w:rPr>
          <w:color w:val="000000"/>
          <w:sz w:val="28"/>
          <w:szCs w:val="28"/>
          <w:lang w:val="en-US"/>
        </w:rPr>
        <w:t>https</w:t>
      </w:r>
      <w:r>
        <w:rPr>
          <w:color w:val="000000"/>
          <w:sz w:val="28"/>
          <w:szCs w:val="28"/>
        </w:rPr>
        <w:t>://</w:t>
      </w:r>
      <w:r>
        <w:rPr>
          <w:color w:val="000000"/>
          <w:sz w:val="28"/>
          <w:szCs w:val="28"/>
          <w:lang w:val="en-US"/>
        </w:rPr>
        <w:t>e</w:t>
      </w:r>
      <w:r>
        <w:rPr>
          <w:color w:val="000000"/>
          <w:sz w:val="28"/>
          <w:szCs w:val="28"/>
        </w:rPr>
        <w:t>.</w:t>
      </w:r>
      <w:r>
        <w:rPr>
          <w:color w:val="000000"/>
          <w:sz w:val="28"/>
          <w:szCs w:val="28"/>
          <w:lang w:val="en-US"/>
        </w:rPr>
        <w:t>lanbook</w:t>
      </w:r>
      <w:r>
        <w:rPr>
          <w:color w:val="000000"/>
          <w:sz w:val="28"/>
          <w:szCs w:val="28"/>
        </w:rPr>
        <w:t>.</w:t>
      </w:r>
      <w:r>
        <w:rPr>
          <w:color w:val="000000"/>
          <w:sz w:val="28"/>
          <w:szCs w:val="28"/>
          <w:lang w:val="en-US"/>
        </w:rPr>
        <w:t>com</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Деловая онлайн-библиотека </w:t>
      </w:r>
      <w:r>
        <w:rPr>
          <w:color w:val="000000"/>
          <w:sz w:val="28"/>
          <w:szCs w:val="28"/>
          <w:lang w:val="en-US"/>
        </w:rPr>
        <w:t>Alpina</w:t>
      </w:r>
      <w:r>
        <w:rPr>
          <w:color w:val="000000"/>
          <w:sz w:val="28"/>
          <w:szCs w:val="28"/>
        </w:rPr>
        <w:t xml:space="preserve"> </w:t>
      </w:r>
      <w:r>
        <w:rPr>
          <w:color w:val="000000"/>
          <w:sz w:val="28"/>
          <w:szCs w:val="28"/>
          <w:lang w:val="en-US"/>
        </w:rPr>
        <w:t>Digital</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lib</w:t>
      </w:r>
      <w:r>
        <w:rPr>
          <w:color w:val="000000"/>
          <w:sz w:val="28"/>
          <w:szCs w:val="28"/>
        </w:rPr>
        <w:t>.</w:t>
      </w:r>
      <w:r>
        <w:rPr>
          <w:color w:val="000000"/>
          <w:sz w:val="28"/>
          <w:szCs w:val="28"/>
          <w:lang w:val="en-US"/>
        </w:rPr>
        <w:t>alpinadigital</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Электронная библиотека Издательского дома «Гребенников» </w:t>
      </w:r>
      <w:r>
        <w:rPr>
          <w:color w:val="000000"/>
          <w:sz w:val="28"/>
          <w:szCs w:val="28"/>
          <w:lang w:val="en-US"/>
        </w:rPr>
        <w:t>https</w:t>
      </w:r>
      <w:r>
        <w:rPr>
          <w:color w:val="000000"/>
          <w:sz w:val="28"/>
          <w:szCs w:val="28"/>
        </w:rPr>
        <w:t>://</w:t>
      </w:r>
      <w:r>
        <w:rPr>
          <w:color w:val="000000"/>
          <w:sz w:val="28"/>
          <w:szCs w:val="28"/>
          <w:lang w:val="en-US"/>
        </w:rPr>
        <w:t>grebennikon</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Научная электронная библиотека </w:t>
      </w:r>
      <w:r>
        <w:rPr>
          <w:color w:val="000000"/>
          <w:sz w:val="28"/>
          <w:szCs w:val="28"/>
          <w:lang w:val="en-US"/>
        </w:rPr>
        <w:t>eLibrary</w:t>
      </w:r>
      <w:r>
        <w:rPr>
          <w:color w:val="000000"/>
          <w:sz w:val="28"/>
          <w:szCs w:val="28"/>
        </w:rPr>
        <w:t>.</w:t>
      </w:r>
      <w:r>
        <w:rPr>
          <w:color w:val="000000"/>
          <w:sz w:val="28"/>
          <w:szCs w:val="28"/>
          <w:lang w:val="en-US"/>
        </w:rPr>
        <w:t>ru</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elibrary</w:t>
      </w:r>
      <w:r>
        <w:rPr>
          <w:color w:val="000000"/>
          <w:sz w:val="28"/>
          <w:szCs w:val="28"/>
        </w:rPr>
        <w:t>.</w:t>
      </w:r>
      <w:r>
        <w:rPr>
          <w:color w:val="000000"/>
          <w:sz w:val="28"/>
          <w:szCs w:val="28"/>
          <w:lang w:val="en-US"/>
        </w:rPr>
        <w:t>ru</w:t>
      </w:r>
      <w:r>
        <w:rPr>
          <w:color w:val="000000"/>
          <w:sz w:val="28"/>
          <w:szCs w:val="28"/>
        </w:rPr>
        <w:t xml:space="preserve">  </w:t>
      </w:r>
    </w:p>
    <w:p w:rsidR="0024195A" w:rsidRDefault="003A638A">
      <w:pPr>
        <w:pStyle w:val="aff1"/>
        <w:numPr>
          <w:ilvl w:val="0"/>
          <w:numId w:val="5"/>
        </w:numPr>
        <w:rPr>
          <w:color w:val="000000"/>
          <w:sz w:val="28"/>
          <w:szCs w:val="28"/>
        </w:rPr>
      </w:pPr>
      <w:r>
        <w:rPr>
          <w:color w:val="000000"/>
          <w:sz w:val="28"/>
          <w:szCs w:val="28"/>
        </w:rPr>
        <w:t xml:space="preserve">Национальная электронная библиотека </w:t>
      </w:r>
      <w:r>
        <w:rPr>
          <w:color w:val="000000"/>
          <w:sz w:val="28"/>
          <w:szCs w:val="28"/>
          <w:lang w:val="en-US"/>
        </w:rPr>
        <w:t>http</w:t>
      </w:r>
      <w:r>
        <w:rPr>
          <w:color w:val="000000"/>
          <w:sz w:val="28"/>
          <w:szCs w:val="28"/>
        </w:rPr>
        <w:t>://нэб.рф/</w:t>
      </w:r>
    </w:p>
    <w:p w:rsidR="0024195A" w:rsidRDefault="003A638A">
      <w:pPr>
        <w:pStyle w:val="aff1"/>
        <w:numPr>
          <w:ilvl w:val="0"/>
          <w:numId w:val="5"/>
        </w:numPr>
        <w:rPr>
          <w:color w:val="000000"/>
          <w:sz w:val="28"/>
          <w:szCs w:val="28"/>
        </w:rPr>
      </w:pPr>
      <w:r>
        <w:rPr>
          <w:color w:val="000000"/>
          <w:sz w:val="28"/>
          <w:szCs w:val="28"/>
        </w:rPr>
        <w:t xml:space="preserve">Финансовая справочная система «Финансовый директор» </w:t>
      </w:r>
      <w:r>
        <w:rPr>
          <w:color w:val="000000"/>
          <w:sz w:val="28"/>
          <w:szCs w:val="28"/>
          <w:lang w:val="en-US"/>
        </w:rPr>
        <w:t>http</w:t>
      </w:r>
      <w:r>
        <w:rPr>
          <w:color w:val="000000"/>
          <w:sz w:val="28"/>
          <w:szCs w:val="28"/>
        </w:rPr>
        <w:t>://</w:t>
      </w:r>
      <w:r>
        <w:rPr>
          <w:color w:val="000000"/>
          <w:sz w:val="28"/>
          <w:szCs w:val="28"/>
          <w:lang w:val="en-US"/>
        </w:rPr>
        <w:t>www</w:t>
      </w:r>
      <w:r>
        <w:rPr>
          <w:color w:val="000000"/>
          <w:sz w:val="28"/>
          <w:szCs w:val="28"/>
        </w:rPr>
        <w:t>.1</w:t>
      </w:r>
      <w:r>
        <w:rPr>
          <w:color w:val="000000"/>
          <w:sz w:val="28"/>
          <w:szCs w:val="28"/>
          <w:lang w:val="en-US"/>
        </w:rPr>
        <w:t>fd</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Ресурсы информационно-аналитического агентства по финансовым рынкам </w:t>
      </w:r>
      <w:r>
        <w:rPr>
          <w:color w:val="000000"/>
          <w:sz w:val="28"/>
          <w:szCs w:val="28"/>
          <w:lang w:val="en-US"/>
        </w:rPr>
        <w:t>Cbonds</w:t>
      </w:r>
      <w:r>
        <w:rPr>
          <w:color w:val="000000"/>
          <w:sz w:val="28"/>
          <w:szCs w:val="28"/>
        </w:rPr>
        <w:t>.</w:t>
      </w:r>
      <w:r>
        <w:rPr>
          <w:color w:val="000000"/>
          <w:sz w:val="28"/>
          <w:szCs w:val="28"/>
          <w:lang w:val="en-US"/>
        </w:rPr>
        <w:t>ru</w:t>
      </w:r>
      <w:r>
        <w:rPr>
          <w:color w:val="000000"/>
          <w:sz w:val="28"/>
          <w:szCs w:val="28"/>
        </w:rPr>
        <w:t xml:space="preserve"> </w:t>
      </w:r>
      <w:r>
        <w:rPr>
          <w:color w:val="000000"/>
          <w:sz w:val="28"/>
          <w:szCs w:val="28"/>
          <w:lang w:val="en-US"/>
        </w:rPr>
        <w:t>https</w:t>
      </w:r>
      <w:r>
        <w:rPr>
          <w:color w:val="000000"/>
          <w:sz w:val="28"/>
          <w:szCs w:val="28"/>
        </w:rPr>
        <w:t>://</w:t>
      </w:r>
      <w:r>
        <w:rPr>
          <w:color w:val="000000"/>
          <w:sz w:val="28"/>
          <w:szCs w:val="28"/>
          <w:lang w:val="en-US"/>
        </w:rPr>
        <w:t>cbonds</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СПАРК </w:t>
      </w:r>
      <w:hyperlink r:id="rId12">
        <w:r>
          <w:rPr>
            <w:rStyle w:val="ac"/>
            <w:sz w:val="28"/>
            <w:szCs w:val="28"/>
            <w:lang w:val="en-US"/>
          </w:rPr>
          <w:t>https</w:t>
        </w:r>
        <w:r>
          <w:rPr>
            <w:rStyle w:val="ac"/>
            <w:sz w:val="28"/>
            <w:szCs w:val="28"/>
          </w:rPr>
          <w:t>://</w:t>
        </w:r>
        <w:r>
          <w:rPr>
            <w:rStyle w:val="ac"/>
            <w:sz w:val="28"/>
            <w:szCs w:val="28"/>
            <w:lang w:val="en-US"/>
          </w:rPr>
          <w:t>spark</w:t>
        </w:r>
        <w:r>
          <w:rPr>
            <w:rStyle w:val="ac"/>
            <w:sz w:val="28"/>
            <w:szCs w:val="28"/>
          </w:rPr>
          <w:t>-</w:t>
        </w:r>
        <w:r>
          <w:rPr>
            <w:rStyle w:val="ac"/>
            <w:sz w:val="28"/>
            <w:szCs w:val="28"/>
            <w:lang w:val="en-US"/>
          </w:rPr>
          <w:t>interfax</w:t>
        </w:r>
        <w:r>
          <w:rPr>
            <w:rStyle w:val="ac"/>
            <w:sz w:val="28"/>
            <w:szCs w:val="28"/>
          </w:rPr>
          <w:t>.</w:t>
        </w:r>
        <w:r>
          <w:rPr>
            <w:rStyle w:val="ac"/>
            <w:sz w:val="28"/>
            <w:szCs w:val="28"/>
            <w:lang w:val="en-US"/>
          </w:rPr>
          <w:t>ru</w:t>
        </w:r>
        <w:r>
          <w:rPr>
            <w:rStyle w:val="ac"/>
            <w:sz w:val="28"/>
            <w:szCs w:val="28"/>
          </w:rPr>
          <w:t>/</w:t>
        </w:r>
      </w:hyperlink>
    </w:p>
    <w:p w:rsidR="0024195A" w:rsidRDefault="003A638A">
      <w:pPr>
        <w:pStyle w:val="aff1"/>
        <w:numPr>
          <w:ilvl w:val="0"/>
          <w:numId w:val="5"/>
        </w:numPr>
        <w:rPr>
          <w:color w:val="000000"/>
          <w:sz w:val="28"/>
          <w:szCs w:val="28"/>
          <w:lang w:val="en-US"/>
        </w:rPr>
      </w:pPr>
      <w:r>
        <w:rPr>
          <w:color w:val="000000"/>
          <w:sz w:val="28"/>
          <w:szCs w:val="28"/>
          <w:lang w:val="en-US"/>
        </w:rPr>
        <w:t>CNKI. Academic Reference https://ar.oversea.cnki.net/</w:t>
      </w:r>
    </w:p>
    <w:p w:rsidR="0024195A" w:rsidRDefault="003A638A">
      <w:pPr>
        <w:pStyle w:val="aff1"/>
        <w:numPr>
          <w:ilvl w:val="0"/>
          <w:numId w:val="5"/>
        </w:numPr>
        <w:rPr>
          <w:color w:val="000000"/>
          <w:sz w:val="28"/>
          <w:szCs w:val="28"/>
          <w:lang w:val="en-US"/>
        </w:rPr>
      </w:pPr>
      <w:r>
        <w:rPr>
          <w:color w:val="000000"/>
          <w:sz w:val="28"/>
          <w:szCs w:val="28"/>
          <w:lang w:val="en-US"/>
        </w:rPr>
        <w:t>CNKI. China Academic Journals Full-text Database https://oversea.cnki.net/kns?dbcode=CFLQ</w:t>
      </w:r>
    </w:p>
    <w:p w:rsidR="0024195A" w:rsidRDefault="003A638A">
      <w:pPr>
        <w:pStyle w:val="aff1"/>
        <w:numPr>
          <w:ilvl w:val="0"/>
          <w:numId w:val="5"/>
        </w:numPr>
        <w:rPr>
          <w:color w:val="000000"/>
          <w:sz w:val="28"/>
          <w:szCs w:val="28"/>
        </w:rPr>
      </w:pPr>
      <w:r>
        <w:rPr>
          <w:color w:val="000000"/>
          <w:sz w:val="28"/>
          <w:szCs w:val="28"/>
        </w:rPr>
        <w:t>Электронные продукты издательства Elsevier http://www.sciencedirect.com</w:t>
      </w:r>
    </w:p>
    <w:p w:rsidR="0024195A" w:rsidRDefault="003A638A">
      <w:pPr>
        <w:pStyle w:val="aff1"/>
        <w:numPr>
          <w:ilvl w:val="0"/>
          <w:numId w:val="5"/>
        </w:numPr>
        <w:rPr>
          <w:color w:val="000000"/>
          <w:sz w:val="28"/>
          <w:szCs w:val="28"/>
          <w:lang w:val="en-US"/>
        </w:rPr>
      </w:pPr>
      <w:r>
        <w:rPr>
          <w:color w:val="000000"/>
          <w:sz w:val="28"/>
          <w:szCs w:val="28"/>
          <w:lang w:val="en-US"/>
        </w:rPr>
        <w:t>Emerald: Management eJournal Portfolio https://www.emerald.com/insight/</w:t>
      </w:r>
    </w:p>
    <w:p w:rsidR="0024195A" w:rsidRDefault="003A638A">
      <w:pPr>
        <w:pStyle w:val="aff1"/>
        <w:numPr>
          <w:ilvl w:val="0"/>
          <w:numId w:val="5"/>
        </w:numPr>
        <w:rPr>
          <w:color w:val="000000"/>
          <w:sz w:val="28"/>
          <w:szCs w:val="28"/>
        </w:rPr>
      </w:pPr>
      <w:r>
        <w:rPr>
          <w:color w:val="000000"/>
          <w:sz w:val="28"/>
          <w:szCs w:val="28"/>
        </w:rPr>
        <w:t>Коллекция научных журналов Oxford University Press https://academic.oup.com/journals/</w:t>
      </w:r>
    </w:p>
    <w:p w:rsidR="0024195A" w:rsidRDefault="003A638A">
      <w:pPr>
        <w:pStyle w:val="aff1"/>
        <w:numPr>
          <w:ilvl w:val="0"/>
          <w:numId w:val="5"/>
        </w:numPr>
        <w:rPr>
          <w:color w:val="000000"/>
          <w:sz w:val="28"/>
          <w:szCs w:val="28"/>
        </w:rPr>
      </w:pPr>
      <w:r>
        <w:rPr>
          <w:color w:val="000000"/>
          <w:sz w:val="28"/>
          <w:szCs w:val="28"/>
        </w:rPr>
        <w:lastRenderedPageBreak/>
        <w:t>Электронные коллекции книг и журналов издательства Springer: http://link.springer.com/</w:t>
      </w:r>
    </w:p>
    <w:p w:rsidR="0024195A" w:rsidRDefault="003A638A">
      <w:pPr>
        <w:pStyle w:val="aff1"/>
        <w:numPr>
          <w:ilvl w:val="0"/>
          <w:numId w:val="5"/>
        </w:numPr>
        <w:rPr>
          <w:color w:val="000000"/>
          <w:sz w:val="28"/>
          <w:szCs w:val="28"/>
          <w:lang w:val="en-US"/>
        </w:rPr>
      </w:pPr>
      <w:r>
        <w:rPr>
          <w:color w:val="000000"/>
          <w:sz w:val="28"/>
          <w:szCs w:val="28"/>
        </w:rPr>
        <w:t>Платформа</w:t>
      </w:r>
      <w:r>
        <w:rPr>
          <w:color w:val="000000"/>
          <w:sz w:val="28"/>
          <w:szCs w:val="28"/>
          <w:lang w:val="en-US"/>
        </w:rPr>
        <w:t xml:space="preserve"> STATISTA https://www.statista.com/</w:t>
      </w:r>
    </w:p>
    <w:p w:rsidR="0024195A" w:rsidRDefault="003A638A">
      <w:pPr>
        <w:pStyle w:val="aff1"/>
        <w:numPr>
          <w:ilvl w:val="0"/>
          <w:numId w:val="5"/>
        </w:numPr>
        <w:rPr>
          <w:color w:val="000000"/>
          <w:sz w:val="28"/>
          <w:szCs w:val="28"/>
        </w:rPr>
      </w:pPr>
      <w:r>
        <w:rPr>
          <w:color w:val="000000"/>
          <w:sz w:val="28"/>
          <w:szCs w:val="28"/>
        </w:rPr>
        <w:t>База данных научных журналов издательства Wiley https://onlinelibrary.wiley.com/</w:t>
      </w:r>
    </w:p>
    <w:p w:rsidR="0024195A" w:rsidRDefault="0024195A">
      <w:pPr>
        <w:pStyle w:val="aff1"/>
        <w:ind w:left="1080"/>
        <w:rPr>
          <w:color w:val="000000"/>
          <w:sz w:val="28"/>
          <w:szCs w:val="28"/>
        </w:rPr>
      </w:pPr>
    </w:p>
    <w:p w:rsidR="0024195A" w:rsidRPr="006263AB" w:rsidRDefault="003A638A" w:rsidP="006263AB">
      <w:pPr>
        <w:pStyle w:val="aff1"/>
        <w:keepNext/>
        <w:numPr>
          <w:ilvl w:val="0"/>
          <w:numId w:val="4"/>
        </w:numPr>
        <w:ind w:left="993" w:hanging="284"/>
        <w:jc w:val="both"/>
        <w:rPr>
          <w:b/>
          <w:sz w:val="28"/>
          <w:szCs w:val="28"/>
        </w:rPr>
      </w:pPr>
      <w:r w:rsidRPr="006263AB">
        <w:rPr>
          <w:b/>
          <w:sz w:val="28"/>
          <w:szCs w:val="28"/>
        </w:rPr>
        <w:t>Методические указания для обучающихся по освоению дисциплины</w:t>
      </w:r>
    </w:p>
    <w:p w:rsidR="0024195A" w:rsidRDefault="003A638A">
      <w:pPr>
        <w:pStyle w:val="aff1"/>
        <w:keepNext/>
        <w:ind w:left="0" w:firstLine="360"/>
        <w:jc w:val="both"/>
        <w:rPr>
          <w:b/>
          <w:sz w:val="28"/>
          <w:szCs w:val="28"/>
        </w:rPr>
      </w:pPr>
      <w:r>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универитете, утвержденные приказом Финуниверситета от 11.05.2023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24195A" w:rsidRDefault="0024195A">
      <w:pPr>
        <w:pStyle w:val="aff1"/>
        <w:keepNext/>
        <w:ind w:left="360"/>
        <w:jc w:val="both"/>
        <w:rPr>
          <w:b/>
          <w:sz w:val="28"/>
          <w:szCs w:val="28"/>
        </w:rPr>
      </w:pP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24195A" w:rsidRDefault="003A638A">
      <w:pPr>
        <w:keepNext/>
        <w:widowControl w:val="0"/>
        <w:spacing w:after="0" w:line="240" w:lineRule="auto"/>
        <w:ind w:firstLine="709"/>
        <w:jc w:val="both"/>
        <w:outlineLvl w:val="0"/>
        <w:rPr>
          <w:rFonts w:ascii="Times New Roman" w:hAnsi="Times New Roman" w:cs="Times New Roman"/>
          <w:b/>
          <w:bCs/>
          <w:kern w:val="2"/>
          <w:sz w:val="28"/>
          <w:szCs w:val="28"/>
        </w:rPr>
      </w:pPr>
      <w:bookmarkStart w:id="26" w:name="_Toc531686467"/>
      <w:bookmarkStart w:id="27" w:name="_Toc531614950"/>
      <w:r>
        <w:rPr>
          <w:rFonts w:ascii="Times New Roman" w:hAnsi="Times New Roman" w:cs="Times New Roman"/>
          <w:b/>
          <w:bCs/>
          <w:kern w:val="2"/>
          <w:sz w:val="28"/>
          <w:szCs w:val="28"/>
        </w:rPr>
        <w:t>11. 1. Комплект лицензионного программного обеспечения:</w:t>
      </w:r>
      <w:bookmarkEnd w:id="26"/>
      <w:bookmarkEnd w:id="27"/>
    </w:p>
    <w:p w:rsidR="0024195A" w:rsidRDefault="0024195A">
      <w:pPr>
        <w:keepNext/>
        <w:widowControl w:val="0"/>
        <w:spacing w:after="0" w:line="240" w:lineRule="auto"/>
        <w:ind w:firstLine="709"/>
        <w:jc w:val="both"/>
        <w:outlineLvl w:val="0"/>
        <w:rPr>
          <w:rFonts w:ascii="Times New Roman" w:hAnsi="Times New Roman" w:cs="Times New Roman"/>
          <w:b/>
          <w:bCs/>
          <w:kern w:val="2"/>
          <w:sz w:val="28"/>
          <w:szCs w:val="28"/>
        </w:rPr>
      </w:pPr>
    </w:p>
    <w:p w:rsidR="0024195A" w:rsidRDefault="003A638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bookmarkStart w:id="28" w:name="_Toc531686469"/>
      <w:bookmarkStart w:id="29" w:name="_Toc531614952"/>
      <w:r>
        <w:rPr>
          <w:rFonts w:ascii="Times New Roman" w:eastAsia="Times New Roman" w:hAnsi="Times New Roman" w:cs="Times New Roman"/>
          <w:sz w:val="28"/>
          <w:szCs w:val="28"/>
        </w:rPr>
        <w:t>Компьютерные программы общего назначения Linux, LibreOffice;</w:t>
      </w:r>
    </w:p>
    <w:p w:rsidR="0024195A" w:rsidRDefault="003A638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Антивирус </w:t>
      </w:r>
      <w:bookmarkEnd w:id="28"/>
      <w:bookmarkEnd w:id="29"/>
      <w:r>
        <w:rPr>
          <w:rFonts w:ascii="Times New Roman" w:eastAsia="Times New Roman" w:hAnsi="Times New Roman" w:cs="Times New Roman"/>
          <w:sz w:val="28"/>
          <w:szCs w:val="28"/>
        </w:rPr>
        <w:t>Kaspersky</w:t>
      </w:r>
    </w:p>
    <w:p w:rsidR="0024195A" w:rsidRDefault="0024195A">
      <w:pPr>
        <w:widowControl w:val="0"/>
        <w:spacing w:after="0" w:line="240" w:lineRule="auto"/>
        <w:ind w:firstLine="709"/>
        <w:jc w:val="both"/>
        <w:rPr>
          <w:rFonts w:ascii="Times New Roman" w:eastAsia="Times New Roman" w:hAnsi="Times New Roman" w:cs="Times New Roman"/>
          <w:sz w:val="28"/>
          <w:szCs w:val="28"/>
        </w:rPr>
      </w:pPr>
    </w:p>
    <w:p w:rsidR="0024195A" w:rsidRDefault="003A638A">
      <w:pPr>
        <w:keepNext/>
        <w:widowControl w:val="0"/>
        <w:spacing w:after="0" w:line="240" w:lineRule="auto"/>
        <w:ind w:firstLine="709"/>
        <w:jc w:val="both"/>
        <w:outlineLvl w:val="0"/>
        <w:rPr>
          <w:rFonts w:ascii="Times New Roman" w:hAnsi="Times New Roman" w:cs="Times New Roman"/>
          <w:bCs/>
          <w:kern w:val="2"/>
          <w:sz w:val="28"/>
          <w:szCs w:val="28"/>
        </w:rPr>
      </w:pPr>
      <w:bookmarkStart w:id="30" w:name="_Toc531686470"/>
      <w:bookmarkStart w:id="31" w:name="_Toc531614953"/>
      <w:r>
        <w:rPr>
          <w:rFonts w:ascii="Times New Roman" w:hAnsi="Times New Roman" w:cs="Times New Roman"/>
          <w:b/>
          <w:bCs/>
          <w:kern w:val="2"/>
          <w:sz w:val="28"/>
          <w:szCs w:val="28"/>
        </w:rPr>
        <w:t>11.2. Современные профессиональные базы данных и информационные справочные системы</w:t>
      </w:r>
      <w:bookmarkEnd w:id="30"/>
      <w:bookmarkEnd w:id="31"/>
    </w:p>
    <w:p w:rsidR="0024195A" w:rsidRDefault="0024195A">
      <w:pPr>
        <w:spacing w:after="0" w:line="240" w:lineRule="auto"/>
        <w:rPr>
          <w:rFonts w:ascii="Times New Roman" w:eastAsia="Times New Roman" w:hAnsi="Times New Roman" w:cs="Times New Roman"/>
          <w:b/>
          <w:sz w:val="28"/>
          <w:szCs w:val="24"/>
        </w:rPr>
      </w:pPr>
    </w:p>
    <w:tbl>
      <w:tblPr>
        <w:tblW w:w="9036" w:type="dxa"/>
        <w:tblInd w:w="250" w:type="dxa"/>
        <w:tblLayout w:type="fixed"/>
        <w:tblLook w:val="04A0" w:firstRow="1" w:lastRow="0" w:firstColumn="1" w:lastColumn="0" w:noHBand="0" w:noVBand="1"/>
      </w:tblPr>
      <w:tblGrid>
        <w:gridCol w:w="709"/>
        <w:gridCol w:w="5149"/>
        <w:gridCol w:w="3178"/>
      </w:tblGrid>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195A" w:rsidRDefault="003A638A">
            <w:pPr>
              <w:spacing w:after="0" w:line="252"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п/п</w:t>
            </w:r>
          </w:p>
        </w:tc>
        <w:tc>
          <w:tcPr>
            <w:tcW w:w="51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195A" w:rsidRDefault="003A638A">
            <w:pPr>
              <w:spacing w:after="0" w:line="252"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Название рекомендуемых технических и компьютерных средств обучения</w:t>
            </w:r>
          </w:p>
        </w:tc>
        <w:tc>
          <w:tcPr>
            <w:tcW w:w="3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195A" w:rsidRDefault="003A638A">
            <w:pPr>
              <w:spacing w:after="0" w:line="252" w:lineRule="auto"/>
              <w:ind w:firstLine="709"/>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Наименование разделов и тем</w:t>
            </w:r>
          </w:p>
        </w:tc>
      </w:tr>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24195A">
            <w:pPr>
              <w:numPr>
                <w:ilvl w:val="0"/>
                <w:numId w:val="18"/>
              </w:numPr>
              <w:spacing w:after="0" w:line="252" w:lineRule="auto"/>
              <w:ind w:hanging="1395"/>
              <w:rPr>
                <w:rFonts w:ascii="Times New Roman" w:eastAsia="Times New Roman" w:hAnsi="Times New Roman" w:cs="Times New Roman"/>
                <w:sz w:val="24"/>
                <w:szCs w:val="24"/>
                <w:lang w:eastAsia="en-US"/>
              </w:rPr>
            </w:pPr>
          </w:p>
        </w:tc>
        <w:tc>
          <w:tcPr>
            <w:tcW w:w="514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www.consultant.ru – Справочная правовая система «КонсультантПлюс».</w:t>
            </w:r>
          </w:p>
        </w:tc>
        <w:tc>
          <w:tcPr>
            <w:tcW w:w="3178"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8</w:t>
            </w:r>
          </w:p>
        </w:tc>
      </w:tr>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24195A">
            <w:pPr>
              <w:numPr>
                <w:ilvl w:val="0"/>
                <w:numId w:val="19"/>
              </w:numPr>
              <w:spacing w:after="0" w:line="252" w:lineRule="auto"/>
              <w:ind w:hanging="1395"/>
              <w:rPr>
                <w:rFonts w:ascii="Times New Roman" w:eastAsia="Times New Roman" w:hAnsi="Times New Roman" w:cs="Times New Roman"/>
                <w:sz w:val="24"/>
                <w:szCs w:val="24"/>
                <w:lang w:eastAsia="en-US"/>
              </w:rPr>
            </w:pPr>
          </w:p>
        </w:tc>
        <w:tc>
          <w:tcPr>
            <w:tcW w:w="514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www.garant.ru – Справочная правовая система «Гарант».</w:t>
            </w:r>
          </w:p>
        </w:tc>
        <w:tc>
          <w:tcPr>
            <w:tcW w:w="3178"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1 - 8</w:t>
            </w:r>
          </w:p>
        </w:tc>
      </w:tr>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24195A">
            <w:pPr>
              <w:numPr>
                <w:ilvl w:val="0"/>
                <w:numId w:val="20"/>
              </w:numPr>
              <w:spacing w:after="0" w:line="252" w:lineRule="auto"/>
              <w:ind w:hanging="1395"/>
              <w:rPr>
                <w:rFonts w:ascii="Times New Roman" w:eastAsia="Times New Roman" w:hAnsi="Times New Roman" w:cs="Times New Roman"/>
                <w:sz w:val="24"/>
                <w:szCs w:val="24"/>
                <w:lang w:eastAsia="en-US"/>
              </w:rPr>
            </w:pPr>
          </w:p>
        </w:tc>
        <w:tc>
          <w:tcPr>
            <w:tcW w:w="514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jc w:val="both"/>
              <w:rPr>
                <w:rFonts w:ascii="Times New Roman" w:eastAsia="Times New Roman" w:hAnsi="Times New Roman" w:cs="Times New Roman"/>
                <w:sz w:val="24"/>
                <w:szCs w:val="24"/>
                <w:lang w:eastAsia="en-US"/>
              </w:rPr>
            </w:pPr>
            <w:bookmarkStart w:id="32" w:name="top"/>
            <w:r>
              <w:rPr>
                <w:rFonts w:ascii="Times New Roman" w:eastAsia="Times New Roman" w:hAnsi="Times New Roman" w:cs="Times New Roman"/>
                <w:bCs/>
                <w:sz w:val="24"/>
                <w:szCs w:val="24"/>
                <w:lang w:eastAsia="en-US"/>
              </w:rPr>
              <w:t>Электронная библиотека Организации экономического сотрудничества и развития (Organisation for Economic Cooperation and Development) OECD iLibrary.</w:t>
            </w:r>
            <w:bookmarkEnd w:id="32"/>
          </w:p>
          <w:p w:rsidR="0024195A" w:rsidRDefault="0024195A">
            <w:pPr>
              <w:spacing w:after="0" w:line="252" w:lineRule="auto"/>
              <w:jc w:val="both"/>
              <w:rPr>
                <w:rFonts w:ascii="Times New Roman" w:eastAsia="Times New Roman" w:hAnsi="Times New Roman" w:cs="Times New Roman"/>
                <w:sz w:val="24"/>
                <w:szCs w:val="24"/>
                <w:lang w:eastAsia="en-US"/>
              </w:rPr>
            </w:pPr>
          </w:p>
        </w:tc>
        <w:tc>
          <w:tcPr>
            <w:tcW w:w="3178"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1 - 8</w:t>
            </w:r>
          </w:p>
        </w:tc>
      </w:tr>
    </w:tbl>
    <w:p w:rsidR="0024195A" w:rsidRDefault="0024195A">
      <w:pPr>
        <w:spacing w:after="0"/>
        <w:ind w:firstLine="709"/>
        <w:jc w:val="center"/>
        <w:outlineLvl w:val="0"/>
        <w:rPr>
          <w:rFonts w:ascii="Times New Roman" w:eastAsia="Times New Roman" w:hAnsi="Times New Roman" w:cs="Times New Roman"/>
          <w:b/>
          <w:bCs/>
          <w:sz w:val="28"/>
          <w:szCs w:val="28"/>
        </w:rPr>
      </w:pPr>
    </w:p>
    <w:p w:rsidR="0024195A" w:rsidRDefault="003A638A">
      <w:pPr>
        <w:spacing w:after="0" w:line="240" w:lineRule="auto"/>
        <w:rPr>
          <w:rFonts w:eastAsia="Times New Roman" w:cs="Arial Unicode MS"/>
          <w:sz w:val="28"/>
          <w:szCs w:val="24"/>
        </w:rPr>
      </w:pPr>
      <w:r>
        <w:rPr>
          <w:rFonts w:ascii="Times New Roman" w:eastAsia="Times New Roman" w:hAnsi="Times New Roman" w:cs="Times New Roman"/>
          <w:b/>
          <w:sz w:val="28"/>
          <w:szCs w:val="24"/>
        </w:rPr>
        <w:t xml:space="preserve">              11.3. Сертифицированные программные и аппаратные средства защиты информации: не предусмотрены.</w:t>
      </w:r>
    </w:p>
    <w:p w:rsidR="0024195A" w:rsidRDefault="0024195A">
      <w:pPr>
        <w:tabs>
          <w:tab w:val="left" w:pos="993"/>
          <w:tab w:val="left" w:pos="1276"/>
          <w:tab w:val="left" w:pos="1418"/>
          <w:tab w:val="left" w:pos="2552"/>
        </w:tabs>
        <w:spacing w:line="240" w:lineRule="auto"/>
        <w:jc w:val="both"/>
        <w:rPr>
          <w:rFonts w:ascii="Times New Roman" w:eastAsia="Times New Roman" w:hAnsi="Times New Roman" w:cs="Times New Roman"/>
          <w:color w:val="000000"/>
          <w:sz w:val="28"/>
          <w:szCs w:val="28"/>
        </w:rPr>
      </w:pPr>
    </w:p>
    <w:p w:rsidR="0024195A" w:rsidRDefault="003A638A">
      <w:pPr>
        <w:widowControl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12. Описание материально-технической базы, необходимой для </w:t>
      </w:r>
      <w:r>
        <w:rPr>
          <w:rFonts w:ascii="Times New Roman" w:eastAsia="Times New Roman" w:hAnsi="Times New Roman" w:cs="Times New Roman"/>
          <w:b/>
          <w:bCs/>
          <w:sz w:val="28"/>
          <w:szCs w:val="28"/>
        </w:rPr>
        <w:lastRenderedPageBreak/>
        <w:t>осуществления образовательного процесса по дисциплине.</w:t>
      </w:r>
    </w:p>
    <w:p w:rsidR="0024195A" w:rsidRDefault="0024195A">
      <w:pPr>
        <w:widowControl w:val="0"/>
        <w:spacing w:after="0" w:line="240" w:lineRule="auto"/>
        <w:jc w:val="both"/>
        <w:rPr>
          <w:rFonts w:ascii="Times New Roman" w:eastAsia="Times New Roman" w:hAnsi="Times New Roman" w:cs="Times New Roman"/>
          <w:b/>
          <w:bCs/>
          <w:sz w:val="28"/>
          <w:szCs w:val="28"/>
        </w:rPr>
      </w:pPr>
    </w:p>
    <w:p w:rsidR="0024195A" w:rsidRDefault="003A638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rFonts w:ascii="Times New Roman" w:eastAsia="Times New Roman" w:hAnsi="Times New Roman" w:cs="Times New Roman"/>
          <w:sz w:val="28"/>
          <w:szCs w:val="28"/>
          <w:lang w:val="en-US"/>
        </w:rPr>
        <w:t>Internet</w:t>
      </w:r>
      <w:r>
        <w:rPr>
          <w:rFonts w:ascii="Times New Roman" w:eastAsia="Times New Roman" w:hAnsi="Times New Roman" w:cs="Times New Roman"/>
          <w:sz w:val="28"/>
          <w:szCs w:val="28"/>
        </w:rPr>
        <w:t>;</w:t>
      </w: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2.</w:t>
      </w:r>
      <w:bookmarkStart w:id="33" w:name="_Toc486930368"/>
      <w:bookmarkEnd w:id="33"/>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VK</w:t>
      </w:r>
      <w:r>
        <w:rPr>
          <w:rFonts w:ascii="Times New Roman" w:eastAsia="Times New Roman" w:hAnsi="Times New Roman" w:cs="Times New Roman"/>
          <w:sz w:val="28"/>
          <w:szCs w:val="28"/>
        </w:rPr>
        <w:t xml:space="preserve"> Teams для проведения консультаций.</w:t>
      </w:r>
    </w:p>
    <w:p w:rsidR="0024195A" w:rsidRDefault="0024195A">
      <w:pPr>
        <w:pStyle w:val="ab"/>
        <w:rPr>
          <w:rFonts w:eastAsia="ヒラギノ角ゴ Pro W3"/>
        </w:rPr>
      </w:pPr>
    </w:p>
    <w:sectPr w:rsidR="0024195A">
      <w:footerReference w:type="default" r:id="rId13"/>
      <w:pgSz w:w="11906" w:h="16838"/>
      <w:pgMar w:top="1134" w:right="850" w:bottom="1134" w:left="1701" w:header="0" w:footer="708" w:gutter="0"/>
      <w:pgNumType w:start="0"/>
      <w:cols w:space="720"/>
      <w:formProt w:val="0"/>
      <w:titlePg/>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A6E" w:rsidRDefault="009A0A6E">
      <w:pPr>
        <w:spacing w:after="0" w:line="240" w:lineRule="auto"/>
      </w:pPr>
      <w:r>
        <w:separator/>
      </w:r>
    </w:p>
  </w:endnote>
  <w:endnote w:type="continuationSeparator" w:id="0">
    <w:p w:rsidR="009A0A6E" w:rsidRDefault="009A0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Condensed">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venirNext LT Pro Regular">
    <w:altName w:val="Times New Roman"/>
    <w:charset w:val="CC"/>
    <w:family w:val="roman"/>
    <w:pitch w:val="variable"/>
  </w:font>
  <w:font w:name="Lucida Sans">
    <w:panose1 w:val="020B0602030504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ヒラギノ角ゴ Pro W3">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389798"/>
      <w:docPartObj>
        <w:docPartGallery w:val="Page Numbers (Bottom of Page)"/>
        <w:docPartUnique/>
      </w:docPartObj>
    </w:sdtPr>
    <w:sdtEndPr/>
    <w:sdtContent>
      <w:p w:rsidR="006263AB" w:rsidRDefault="006263AB">
        <w:pPr>
          <w:pStyle w:val="afa"/>
          <w:jc w:val="center"/>
        </w:pPr>
        <w:r>
          <w:fldChar w:fldCharType="begin"/>
        </w:r>
        <w:r>
          <w:instrText xml:space="preserve"> PAGE </w:instrText>
        </w:r>
        <w:r>
          <w:fldChar w:fldCharType="separate"/>
        </w:r>
        <w:r w:rsidR="005237CE">
          <w:rPr>
            <w:noProof/>
          </w:rPr>
          <w:t>1</w:t>
        </w:r>
        <w:r>
          <w:fldChar w:fldCharType="end"/>
        </w:r>
      </w:p>
    </w:sdtContent>
  </w:sdt>
  <w:p w:rsidR="006263AB" w:rsidRDefault="006263AB">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A6E" w:rsidRDefault="009A0A6E">
      <w:pPr>
        <w:spacing w:after="0" w:line="240" w:lineRule="auto"/>
      </w:pPr>
      <w:r>
        <w:separator/>
      </w:r>
    </w:p>
  </w:footnote>
  <w:footnote w:type="continuationSeparator" w:id="0">
    <w:p w:rsidR="009A0A6E" w:rsidRDefault="009A0A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350"/>
    <w:multiLevelType w:val="multilevel"/>
    <w:tmpl w:val="C64872BE"/>
    <w:lvl w:ilvl="0">
      <w:start w:val="1"/>
      <w:numFmt w:val="decimal"/>
      <w:lvlText w:val="%1."/>
      <w:lvlJc w:val="left"/>
      <w:pPr>
        <w:tabs>
          <w:tab w:val="num" w:pos="0"/>
        </w:tabs>
        <w:ind w:left="927"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B8324B"/>
    <w:multiLevelType w:val="multilevel"/>
    <w:tmpl w:val="56EAE6E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3E14636"/>
    <w:multiLevelType w:val="multilevel"/>
    <w:tmpl w:val="924CFA1E"/>
    <w:lvl w:ilvl="0">
      <w:start w:val="4"/>
      <w:numFmt w:val="bullet"/>
      <w:lvlText w:val="-"/>
      <w:lvlJc w:val="left"/>
      <w:pPr>
        <w:tabs>
          <w:tab w:val="num" w:pos="0"/>
        </w:tabs>
        <w:ind w:left="1440" w:hanging="360"/>
      </w:pPr>
      <w:rPr>
        <w:rFonts w:ascii="Times New Roman" w:hAnsi="Times New Roman" w:cs="Times New Roman"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1F314E08"/>
    <w:multiLevelType w:val="multilevel"/>
    <w:tmpl w:val="A2DEAD6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2861AD8"/>
    <w:multiLevelType w:val="multilevel"/>
    <w:tmpl w:val="30F6D086"/>
    <w:lvl w:ilvl="0">
      <w:start w:val="1"/>
      <w:numFmt w:val="decimal"/>
      <w:lvlText w:val="%1."/>
      <w:lvlJc w:val="left"/>
      <w:pPr>
        <w:tabs>
          <w:tab w:val="num" w:pos="360"/>
        </w:tabs>
        <w:ind w:left="360" w:hanging="360"/>
      </w:pPr>
      <w:rPr>
        <w:rFonts w:ascii="Times New Roman" w:eastAsia="Times New Roman" w:hAnsi="Times New Roman" w:cs="MonoCondensed"/>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28FD3671"/>
    <w:multiLevelType w:val="multilevel"/>
    <w:tmpl w:val="AB2E97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15:restartNumberingAfterBreak="0">
    <w:nsid w:val="2CB85607"/>
    <w:multiLevelType w:val="multilevel"/>
    <w:tmpl w:val="45703B5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357C19CD"/>
    <w:multiLevelType w:val="multilevel"/>
    <w:tmpl w:val="F08CB0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E766AAB"/>
    <w:multiLevelType w:val="multilevel"/>
    <w:tmpl w:val="CA722F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F6239D1"/>
    <w:multiLevelType w:val="multilevel"/>
    <w:tmpl w:val="9890701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5CF863B8"/>
    <w:multiLevelType w:val="multilevel"/>
    <w:tmpl w:val="BB125C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E885BB9"/>
    <w:multiLevelType w:val="multilevel"/>
    <w:tmpl w:val="087CB60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660F143D"/>
    <w:multiLevelType w:val="multilevel"/>
    <w:tmpl w:val="53F40C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10"/>
  </w:num>
  <w:num w:numId="2">
    <w:abstractNumId w:val="0"/>
  </w:num>
  <w:num w:numId="3">
    <w:abstractNumId w:val="4"/>
  </w:num>
  <w:num w:numId="4">
    <w:abstractNumId w:val="3"/>
  </w:num>
  <w:num w:numId="5">
    <w:abstractNumId w:val="2"/>
  </w:num>
  <w:num w:numId="6">
    <w:abstractNumId w:val="1"/>
  </w:num>
  <w:num w:numId="7">
    <w:abstractNumId w:val="6"/>
  </w:num>
  <w:num w:numId="8">
    <w:abstractNumId w:val="12"/>
  </w:num>
  <w:num w:numId="9">
    <w:abstractNumId w:val="11"/>
  </w:num>
  <w:num w:numId="10">
    <w:abstractNumId w:val="8"/>
  </w:num>
  <w:num w:numId="11">
    <w:abstractNumId w:val="5"/>
  </w:num>
  <w:num w:numId="12">
    <w:abstractNumId w:val="9"/>
  </w:num>
  <w:num w:numId="13">
    <w:abstractNumId w:val="7"/>
  </w:num>
  <w:num w:numId="14">
    <w:abstractNumId w:val="1"/>
    <w:lvlOverride w:ilvl="0">
      <w:startOverride w:val="1"/>
    </w:lvlOverride>
  </w:num>
  <w:num w:numId="15">
    <w:abstractNumId w:val="1"/>
  </w:num>
  <w:num w:numId="16">
    <w:abstractNumId w:val="1"/>
  </w:num>
  <w:num w:numId="17">
    <w:abstractNumId w:val="1"/>
  </w:num>
  <w:num w:numId="18">
    <w:abstractNumId w:val="8"/>
    <w:lvlOverride w:ilvl="0">
      <w:startOverride w:val="1"/>
    </w:lvlOverride>
  </w:num>
  <w:num w:numId="19">
    <w:abstractNumId w:val="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95A"/>
    <w:rsid w:val="000E55E3"/>
    <w:rsid w:val="0024195A"/>
    <w:rsid w:val="003A638A"/>
    <w:rsid w:val="005237CE"/>
    <w:rsid w:val="0053089E"/>
    <w:rsid w:val="006263AB"/>
    <w:rsid w:val="00786627"/>
    <w:rsid w:val="00843E69"/>
    <w:rsid w:val="009A0A6E"/>
    <w:rsid w:val="00A67D3F"/>
    <w:rsid w:val="00F40CA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2DB7D"/>
  <w15:docId w15:val="{BAB0F887-9F1B-4BD0-866B-EECE62E8F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C2"/>
    <w:pPr>
      <w:spacing w:after="200" w:line="276" w:lineRule="auto"/>
    </w:pPr>
  </w:style>
  <w:style w:type="paragraph" w:styleId="1">
    <w:name w:val="heading 1"/>
    <w:basedOn w:val="a"/>
    <w:next w:val="a"/>
    <w:link w:val="10"/>
    <w:autoRedefine/>
    <w:uiPriority w:val="9"/>
    <w:qFormat/>
    <w:rsid w:val="00985482"/>
    <w:pPr>
      <w:keepNext/>
      <w:keepLines/>
      <w:spacing w:before="480" w:after="0" w:line="240" w:lineRule="auto"/>
      <w:jc w:val="both"/>
      <w:outlineLvl w:val="0"/>
    </w:pPr>
    <w:rPr>
      <w:rFonts w:ascii="Times New Roman" w:eastAsiaTheme="majorEastAsia" w:hAnsi="Times New Roman" w:cstheme="majorBidi"/>
      <w:b/>
      <w:bCs/>
      <w:sz w:val="28"/>
      <w:szCs w:val="28"/>
    </w:rPr>
  </w:style>
  <w:style w:type="paragraph" w:styleId="2">
    <w:name w:val="heading 2"/>
    <w:basedOn w:val="a"/>
    <w:link w:val="20"/>
    <w:uiPriority w:val="9"/>
    <w:qFormat/>
    <w:rsid w:val="00093C6E"/>
    <w:pPr>
      <w:spacing w:beforeAutospacing="1" w:afterAutospacing="1" w:line="240" w:lineRule="auto"/>
      <w:outlineLvl w:val="1"/>
    </w:pPr>
    <w:rPr>
      <w:rFonts w:ascii="Times New Roman" w:eastAsia="Times New Roman" w:hAnsi="Times New Roman" w:cs="Times New Roman"/>
      <w:b/>
      <w:bCs/>
      <w:sz w:val="28"/>
      <w:szCs w:val="36"/>
    </w:rPr>
  </w:style>
  <w:style w:type="paragraph" w:styleId="3">
    <w:name w:val="heading 3"/>
    <w:basedOn w:val="11"/>
    <w:next w:val="11"/>
    <w:qFormat/>
    <w:rsid w:val="00767166"/>
    <w:pPr>
      <w:keepNext/>
      <w:keepLines/>
      <w:spacing w:before="280" w:after="80"/>
      <w:outlineLvl w:val="2"/>
    </w:pPr>
    <w:rPr>
      <w:b/>
      <w:sz w:val="28"/>
      <w:szCs w:val="28"/>
    </w:rPr>
  </w:style>
  <w:style w:type="paragraph" w:styleId="4">
    <w:name w:val="heading 4"/>
    <w:basedOn w:val="11"/>
    <w:next w:val="11"/>
    <w:qFormat/>
    <w:rsid w:val="00767166"/>
    <w:pPr>
      <w:keepNext/>
      <w:keepLines/>
      <w:spacing w:before="240" w:after="40"/>
      <w:outlineLvl w:val="3"/>
    </w:pPr>
    <w:rPr>
      <w:b/>
      <w:sz w:val="24"/>
      <w:szCs w:val="24"/>
    </w:rPr>
  </w:style>
  <w:style w:type="paragraph" w:styleId="5">
    <w:name w:val="heading 5"/>
    <w:basedOn w:val="11"/>
    <w:next w:val="11"/>
    <w:qFormat/>
    <w:rsid w:val="00767166"/>
    <w:pPr>
      <w:keepNext/>
      <w:keepLines/>
      <w:spacing w:before="220" w:after="40"/>
      <w:outlineLvl w:val="4"/>
    </w:pPr>
    <w:rPr>
      <w:b/>
    </w:rPr>
  </w:style>
  <w:style w:type="paragraph" w:styleId="6">
    <w:name w:val="heading 6"/>
    <w:basedOn w:val="11"/>
    <w:next w:val="11"/>
    <w:qFormat/>
    <w:rsid w:val="0076716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semiHidden/>
    <w:qFormat/>
    <w:rsid w:val="00C6475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qFormat/>
    <w:rsid w:val="00093C6E"/>
    <w:rPr>
      <w:rFonts w:ascii="Times New Roman" w:eastAsia="Times New Roman" w:hAnsi="Times New Roman" w:cs="Times New Roman"/>
      <w:b/>
      <w:bCs/>
      <w:sz w:val="28"/>
      <w:szCs w:val="36"/>
      <w:lang w:eastAsia="ru-RU"/>
    </w:rPr>
  </w:style>
  <w:style w:type="character" w:styleId="a5">
    <w:name w:val="Strong"/>
    <w:basedOn w:val="a0"/>
    <w:uiPriority w:val="22"/>
    <w:qFormat/>
    <w:rsid w:val="00C6475B"/>
    <w:rPr>
      <w:b/>
      <w:bCs/>
    </w:rPr>
  </w:style>
  <w:style w:type="character" w:customStyle="1" w:styleId="a6">
    <w:name w:val="Текст сноски Знак"/>
    <w:basedOn w:val="a0"/>
    <w:uiPriority w:val="99"/>
    <w:semiHidden/>
    <w:qFormat/>
    <w:rsid w:val="00091628"/>
    <w:rPr>
      <w:sz w:val="20"/>
      <w:szCs w:val="20"/>
    </w:rPr>
  </w:style>
  <w:style w:type="character" w:customStyle="1" w:styleId="a7">
    <w:name w:val="Символ сноски"/>
    <w:qFormat/>
    <w:rsid w:val="00091628"/>
    <w:rPr>
      <w:vertAlign w:val="superscript"/>
    </w:rPr>
  </w:style>
  <w:style w:type="character" w:styleId="a8">
    <w:name w:val="footnote reference"/>
    <w:rPr>
      <w:vertAlign w:val="superscript"/>
    </w:rPr>
  </w:style>
  <w:style w:type="character" w:customStyle="1" w:styleId="12">
    <w:name w:val="Текст сноски Знак1"/>
    <w:link w:val="a9"/>
    <w:qFormat/>
    <w:locked/>
    <w:rsid w:val="00091628"/>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sid w:val="00985482"/>
    <w:rPr>
      <w:rFonts w:ascii="Times New Roman" w:eastAsiaTheme="majorEastAsia" w:hAnsi="Times New Roman" w:cstheme="majorBidi"/>
      <w:b/>
      <w:bCs/>
      <w:sz w:val="28"/>
      <w:szCs w:val="28"/>
    </w:rPr>
  </w:style>
  <w:style w:type="character" w:customStyle="1" w:styleId="aa">
    <w:name w:val="Заголовок Знак"/>
    <w:basedOn w:val="a0"/>
    <w:link w:val="ab"/>
    <w:qFormat/>
    <w:rsid w:val="001E7433"/>
    <w:rPr>
      <w:rFonts w:ascii="Times New Roman" w:eastAsia="Times New Roman" w:hAnsi="Times New Roman" w:cs="Times New Roman"/>
      <w:b/>
      <w:sz w:val="28"/>
      <w:szCs w:val="20"/>
      <w:lang w:eastAsia="ru-RU"/>
    </w:rPr>
  </w:style>
  <w:style w:type="character" w:styleId="ac">
    <w:name w:val="Hyperlink"/>
    <w:basedOn w:val="a0"/>
    <w:uiPriority w:val="99"/>
    <w:unhideWhenUsed/>
    <w:rsid w:val="001E7433"/>
    <w:rPr>
      <w:color w:val="0000FF" w:themeColor="hyperlink"/>
      <w:u w:val="single"/>
    </w:rPr>
  </w:style>
  <w:style w:type="character" w:customStyle="1" w:styleId="ad">
    <w:name w:val="Текст выноски Знак"/>
    <w:basedOn w:val="a0"/>
    <w:link w:val="ae"/>
    <w:uiPriority w:val="99"/>
    <w:semiHidden/>
    <w:qFormat/>
    <w:rsid w:val="001E7433"/>
    <w:rPr>
      <w:rFonts w:ascii="Tahoma" w:hAnsi="Tahoma" w:cs="Tahoma"/>
      <w:sz w:val="16"/>
      <w:szCs w:val="16"/>
    </w:rPr>
  </w:style>
  <w:style w:type="character" w:styleId="af">
    <w:name w:val="annotation reference"/>
    <w:basedOn w:val="a0"/>
    <w:uiPriority w:val="99"/>
    <w:semiHidden/>
    <w:unhideWhenUsed/>
    <w:qFormat/>
    <w:rsid w:val="00816EC7"/>
    <w:rPr>
      <w:sz w:val="16"/>
      <w:szCs w:val="16"/>
    </w:rPr>
  </w:style>
  <w:style w:type="character" w:customStyle="1" w:styleId="af0">
    <w:name w:val="Текст примечания Знак"/>
    <w:basedOn w:val="a0"/>
    <w:link w:val="af1"/>
    <w:uiPriority w:val="99"/>
    <w:semiHidden/>
    <w:qFormat/>
    <w:rsid w:val="00816EC7"/>
    <w:rPr>
      <w:sz w:val="20"/>
      <w:szCs w:val="20"/>
    </w:rPr>
  </w:style>
  <w:style w:type="character" w:customStyle="1" w:styleId="af2">
    <w:name w:val="Тема примечания Знак"/>
    <w:basedOn w:val="af0"/>
    <w:link w:val="af3"/>
    <w:uiPriority w:val="99"/>
    <w:semiHidden/>
    <w:qFormat/>
    <w:rsid w:val="00816EC7"/>
    <w:rPr>
      <w:b/>
      <w:bCs/>
      <w:sz w:val="20"/>
      <w:szCs w:val="20"/>
    </w:rPr>
  </w:style>
  <w:style w:type="character" w:customStyle="1" w:styleId="BodytextChar">
    <w:name w:val="Body text Char"/>
    <w:link w:val="13"/>
    <w:qFormat/>
    <w:rsid w:val="00EB5929"/>
    <w:rPr>
      <w:rFonts w:ascii="AvenirNext LT Pro Regular" w:eastAsia="Times New Roman" w:hAnsi="AvenirNext LT Pro Regular" w:cs="Times New Roman"/>
      <w:color w:val="000000"/>
      <w:sz w:val="20"/>
      <w:szCs w:val="20"/>
      <w:lang w:val="en-GB" w:eastAsia="en-US"/>
    </w:rPr>
  </w:style>
  <w:style w:type="character" w:customStyle="1" w:styleId="BodyhangChar">
    <w:name w:val="Body hang Char"/>
    <w:link w:val="Bodyhang"/>
    <w:qFormat/>
    <w:rsid w:val="00EB5929"/>
    <w:rPr>
      <w:rFonts w:ascii="AvenirNext LT Pro Regular" w:eastAsia="Times New Roman" w:hAnsi="AvenirNext LT Pro Regular" w:cs="Times New Roman"/>
      <w:color w:val="000000"/>
      <w:sz w:val="20"/>
      <w:szCs w:val="20"/>
      <w:lang w:val="en-GB" w:eastAsia="en-US"/>
    </w:rPr>
  </w:style>
  <w:style w:type="character" w:customStyle="1" w:styleId="QheadChar1">
    <w:name w:val="Q head Char1"/>
    <w:link w:val="Qhead"/>
    <w:qFormat/>
    <w:locked/>
    <w:rsid w:val="00EB5929"/>
    <w:rPr>
      <w:rFonts w:ascii="AvenirNext LT Pro Regular" w:eastAsia="Times New Roman" w:hAnsi="AvenirNext LT Pro Regular" w:cs="Times New Roman"/>
      <w:b/>
      <w:color w:val="4D4D4D"/>
      <w:sz w:val="32"/>
      <w:szCs w:val="32"/>
      <w:lang w:val="en-GB" w:eastAsia="en-US"/>
    </w:rPr>
  </w:style>
  <w:style w:type="character" w:customStyle="1" w:styleId="Note">
    <w:name w:val="Note"/>
    <w:qFormat/>
    <w:rsid w:val="00EB5929"/>
    <w:rPr>
      <w:b/>
      <w:color w:val="808080"/>
    </w:rPr>
  </w:style>
  <w:style w:type="character" w:customStyle="1" w:styleId="BodytextChar0">
    <w:name w:val="Body text + Char"/>
    <w:basedOn w:val="BodytextChar"/>
    <w:link w:val="Bodytext"/>
    <w:qFormat/>
    <w:rsid w:val="00EB5929"/>
    <w:rPr>
      <w:rFonts w:ascii="AvenirNext LT Pro Regular" w:eastAsia="Times New Roman" w:hAnsi="AvenirNext LT Pro Regular" w:cs="Times New Roman"/>
      <w:color w:val="000000"/>
      <w:sz w:val="20"/>
      <w:szCs w:val="20"/>
      <w:lang w:val="en-GB" w:eastAsia="en-US"/>
    </w:rPr>
  </w:style>
  <w:style w:type="character" w:customStyle="1" w:styleId="aChar">
    <w:name w:val="(a) Char"/>
    <w:link w:val="af4"/>
    <w:qFormat/>
    <w:rsid w:val="00EB5929"/>
    <w:rPr>
      <w:rFonts w:ascii="AvenirNext LT Pro Regular" w:eastAsia="Times New Roman" w:hAnsi="AvenirNext LT Pro Regular" w:cs="Times New Roman"/>
      <w:color w:val="000000"/>
      <w:sz w:val="20"/>
      <w:szCs w:val="20"/>
      <w:lang w:val="en-GB" w:eastAsia="en-US"/>
    </w:rPr>
  </w:style>
  <w:style w:type="character" w:customStyle="1" w:styleId="ComputationChar">
    <w:name w:val="Computation Char"/>
    <w:link w:val="Computation"/>
    <w:qFormat/>
    <w:locked/>
    <w:rsid w:val="00EB5929"/>
    <w:rPr>
      <w:rFonts w:ascii="AvenirNext LT Pro Regular" w:eastAsia="Times New Roman" w:hAnsi="AvenirNext LT Pro Regular" w:cs="Times New Roman"/>
      <w:sz w:val="20"/>
      <w:szCs w:val="20"/>
      <w:lang w:val="en-GB" w:eastAsia="en-US"/>
    </w:rPr>
  </w:style>
  <w:style w:type="character" w:customStyle="1" w:styleId="14">
    <w:name w:val="Стиль1 Знак"/>
    <w:link w:val="15"/>
    <w:qFormat/>
    <w:locked/>
    <w:rsid w:val="006B5BB2"/>
    <w:rPr>
      <w:sz w:val="24"/>
    </w:rPr>
  </w:style>
  <w:style w:type="character" w:customStyle="1" w:styleId="af5">
    <w:name w:val="Основной текст с отступом Знак"/>
    <w:basedOn w:val="a0"/>
    <w:link w:val="af6"/>
    <w:uiPriority w:val="99"/>
    <w:semiHidden/>
    <w:qFormat/>
    <w:rsid w:val="000E1A76"/>
  </w:style>
  <w:style w:type="character" w:customStyle="1" w:styleId="tlid-translation">
    <w:name w:val="tlid-translation"/>
    <w:basedOn w:val="a0"/>
    <w:qFormat/>
    <w:rsid w:val="00E528FB"/>
  </w:style>
  <w:style w:type="character" w:customStyle="1" w:styleId="16">
    <w:name w:val="Неразрешенное упоминание1"/>
    <w:basedOn w:val="a0"/>
    <w:uiPriority w:val="99"/>
    <w:semiHidden/>
    <w:unhideWhenUsed/>
    <w:qFormat/>
    <w:rsid w:val="000739E7"/>
    <w:rPr>
      <w:color w:val="605E5C"/>
      <w:shd w:val="clear" w:color="auto" w:fill="E1DFDD"/>
    </w:rPr>
  </w:style>
  <w:style w:type="character" w:customStyle="1" w:styleId="af7">
    <w:name w:val="Верхний колонтитул Знак"/>
    <w:basedOn w:val="a0"/>
    <w:link w:val="af8"/>
    <w:uiPriority w:val="99"/>
    <w:qFormat/>
    <w:rsid w:val="009027F8"/>
  </w:style>
  <w:style w:type="character" w:customStyle="1" w:styleId="af9">
    <w:name w:val="Нижний колонтитул Знак"/>
    <w:basedOn w:val="a0"/>
    <w:link w:val="afa"/>
    <w:uiPriority w:val="99"/>
    <w:qFormat/>
    <w:rsid w:val="009027F8"/>
  </w:style>
  <w:style w:type="character" w:customStyle="1" w:styleId="afb">
    <w:name w:val="Без интервала Знак"/>
    <w:link w:val="afc"/>
    <w:uiPriority w:val="1"/>
    <w:qFormat/>
    <w:locked/>
    <w:rsid w:val="00493AC6"/>
    <w:rPr>
      <w:rFonts w:asciiTheme="minorHAnsi" w:eastAsiaTheme="minorHAnsi" w:hAnsiTheme="minorHAnsi" w:cstheme="minorBidi"/>
      <w:lang w:eastAsia="en-US"/>
    </w:rPr>
  </w:style>
  <w:style w:type="character" w:customStyle="1" w:styleId="UnresolvedMention">
    <w:name w:val="Unresolved Mention"/>
    <w:basedOn w:val="a0"/>
    <w:uiPriority w:val="99"/>
    <w:semiHidden/>
    <w:unhideWhenUsed/>
    <w:qFormat/>
    <w:rsid w:val="00245A53"/>
    <w:rPr>
      <w:color w:val="605E5C"/>
      <w:shd w:val="clear" w:color="auto" w:fill="E1DFDD"/>
    </w:rPr>
  </w:style>
  <w:style w:type="character" w:customStyle="1" w:styleId="afd">
    <w:name w:val="Ссылка указателя"/>
    <w:qFormat/>
  </w:style>
  <w:style w:type="paragraph" w:styleId="ab">
    <w:name w:val="Title"/>
    <w:basedOn w:val="a"/>
    <w:next w:val="a4"/>
    <w:link w:val="aa"/>
    <w:qFormat/>
    <w:rsid w:val="001E7433"/>
    <w:pPr>
      <w:spacing w:after="0" w:line="240" w:lineRule="auto"/>
      <w:jc w:val="center"/>
    </w:pPr>
    <w:rPr>
      <w:rFonts w:ascii="Times New Roman" w:eastAsia="Times New Roman" w:hAnsi="Times New Roman" w:cs="Times New Roman"/>
      <w:b/>
      <w:sz w:val="28"/>
      <w:szCs w:val="20"/>
    </w:rPr>
  </w:style>
  <w:style w:type="paragraph" w:styleId="a4">
    <w:name w:val="Body Text"/>
    <w:basedOn w:val="a"/>
    <w:link w:val="a3"/>
    <w:semiHidden/>
    <w:unhideWhenUsed/>
    <w:rsid w:val="00C6475B"/>
    <w:pPr>
      <w:spacing w:after="120" w:line="240" w:lineRule="auto"/>
    </w:pPr>
    <w:rPr>
      <w:rFonts w:ascii="Times New Roman" w:eastAsia="Times New Roman" w:hAnsi="Times New Roman" w:cs="Times New Roman"/>
      <w:sz w:val="20"/>
      <w:szCs w:val="20"/>
    </w:rPr>
  </w:style>
  <w:style w:type="paragraph" w:styleId="afe">
    <w:name w:val="List"/>
    <w:basedOn w:val="a4"/>
    <w:rPr>
      <w:rFonts w:cs="Lucida Sans"/>
    </w:rPr>
  </w:style>
  <w:style w:type="paragraph" w:styleId="aff">
    <w:name w:val="caption"/>
    <w:basedOn w:val="a"/>
    <w:qFormat/>
    <w:pPr>
      <w:suppressLineNumbers/>
      <w:spacing w:before="120" w:after="120"/>
    </w:pPr>
    <w:rPr>
      <w:rFonts w:cs="Lucida Sans"/>
      <w:i/>
      <w:iCs/>
      <w:sz w:val="24"/>
      <w:szCs w:val="24"/>
    </w:rPr>
  </w:style>
  <w:style w:type="paragraph" w:styleId="aff0">
    <w:name w:val="index heading"/>
    <w:basedOn w:val="ab"/>
  </w:style>
  <w:style w:type="paragraph" w:customStyle="1" w:styleId="caption1">
    <w:name w:val="caption1"/>
    <w:basedOn w:val="a"/>
    <w:qFormat/>
    <w:pPr>
      <w:suppressLineNumbers/>
      <w:spacing w:before="120" w:after="120"/>
    </w:pPr>
    <w:rPr>
      <w:rFonts w:cs="Lucida Sans"/>
      <w:i/>
      <w:iCs/>
      <w:sz w:val="24"/>
      <w:szCs w:val="24"/>
    </w:rPr>
  </w:style>
  <w:style w:type="paragraph" w:customStyle="1" w:styleId="indexheading1">
    <w:name w:val="index heading1"/>
    <w:basedOn w:val="ab"/>
    <w:qFormat/>
  </w:style>
  <w:style w:type="paragraph" w:customStyle="1" w:styleId="11">
    <w:name w:val="Обычный1"/>
    <w:qFormat/>
    <w:rsid w:val="00767166"/>
    <w:pPr>
      <w:spacing w:after="200" w:line="276" w:lineRule="auto"/>
    </w:pPr>
  </w:style>
  <w:style w:type="paragraph" w:styleId="a9">
    <w:name w:val="footnote text"/>
    <w:basedOn w:val="a"/>
    <w:link w:val="12"/>
    <w:rsid w:val="00091628"/>
    <w:pPr>
      <w:widowControl w:val="0"/>
      <w:spacing w:after="0" w:line="240" w:lineRule="auto"/>
    </w:pPr>
    <w:rPr>
      <w:rFonts w:ascii="Times New Roman" w:eastAsia="Times New Roman" w:hAnsi="Times New Roman" w:cs="Times New Roman"/>
      <w:sz w:val="20"/>
      <w:szCs w:val="20"/>
    </w:rPr>
  </w:style>
  <w:style w:type="paragraph" w:styleId="aff1">
    <w:name w:val="List Paragraph"/>
    <w:basedOn w:val="a"/>
    <w:uiPriority w:val="34"/>
    <w:qFormat/>
    <w:rsid w:val="001E7433"/>
    <w:pPr>
      <w:widowControl w:val="0"/>
      <w:spacing w:after="0" w:line="240" w:lineRule="auto"/>
      <w:ind w:left="708"/>
    </w:pPr>
    <w:rPr>
      <w:rFonts w:ascii="Times New Roman" w:eastAsia="Times New Roman" w:hAnsi="Times New Roman" w:cs="Times New Roman"/>
      <w:sz w:val="20"/>
      <w:szCs w:val="20"/>
    </w:rPr>
  </w:style>
  <w:style w:type="paragraph" w:styleId="aff2">
    <w:name w:val="TOC Heading"/>
    <w:basedOn w:val="1"/>
    <w:next w:val="a"/>
    <w:uiPriority w:val="39"/>
    <w:unhideWhenUsed/>
    <w:qFormat/>
    <w:rsid w:val="001E7433"/>
    <w:pPr>
      <w:jc w:val="left"/>
      <w:outlineLvl w:val="9"/>
    </w:pPr>
    <w:rPr>
      <w:rFonts w:asciiTheme="majorHAnsi" w:hAnsiTheme="majorHAnsi"/>
      <w:color w:val="365F91" w:themeColor="accent1" w:themeShade="BF"/>
    </w:rPr>
  </w:style>
  <w:style w:type="paragraph" w:styleId="17">
    <w:name w:val="toc 1"/>
    <w:basedOn w:val="a"/>
    <w:next w:val="a"/>
    <w:autoRedefine/>
    <w:uiPriority w:val="39"/>
    <w:unhideWhenUsed/>
    <w:rsid w:val="001E7433"/>
    <w:pPr>
      <w:spacing w:after="100"/>
    </w:pPr>
  </w:style>
  <w:style w:type="paragraph" w:styleId="ae">
    <w:name w:val="Balloon Text"/>
    <w:basedOn w:val="a"/>
    <w:link w:val="ad"/>
    <w:uiPriority w:val="99"/>
    <w:semiHidden/>
    <w:unhideWhenUsed/>
    <w:qFormat/>
    <w:rsid w:val="001E7433"/>
    <w:pPr>
      <w:spacing w:after="0" w:line="240" w:lineRule="auto"/>
    </w:pPr>
    <w:rPr>
      <w:rFonts w:ascii="Tahoma" w:hAnsi="Tahoma" w:cs="Tahoma"/>
      <w:sz w:val="16"/>
      <w:szCs w:val="16"/>
    </w:rPr>
  </w:style>
  <w:style w:type="paragraph" w:customStyle="1" w:styleId="Default">
    <w:name w:val="Default"/>
    <w:qFormat/>
    <w:rsid w:val="00093C6E"/>
    <w:rPr>
      <w:rFonts w:ascii="Times New Roman" w:hAnsi="Times New Roman" w:cs="Times New Roman"/>
      <w:color w:val="000000"/>
      <w:sz w:val="24"/>
      <w:szCs w:val="24"/>
    </w:rPr>
  </w:style>
  <w:style w:type="paragraph" w:styleId="af1">
    <w:name w:val="annotation text"/>
    <w:basedOn w:val="a"/>
    <w:link w:val="af0"/>
    <w:uiPriority w:val="99"/>
    <w:semiHidden/>
    <w:unhideWhenUsed/>
    <w:qFormat/>
    <w:rsid w:val="00816EC7"/>
    <w:pPr>
      <w:spacing w:line="240" w:lineRule="auto"/>
    </w:pPr>
    <w:rPr>
      <w:sz w:val="20"/>
      <w:szCs w:val="20"/>
    </w:rPr>
  </w:style>
  <w:style w:type="paragraph" w:styleId="af3">
    <w:name w:val="annotation subject"/>
    <w:basedOn w:val="af1"/>
    <w:next w:val="af1"/>
    <w:link w:val="af2"/>
    <w:uiPriority w:val="99"/>
    <w:semiHidden/>
    <w:unhideWhenUsed/>
    <w:qFormat/>
    <w:rsid w:val="00816EC7"/>
    <w:rPr>
      <w:b/>
      <w:bCs/>
    </w:rPr>
  </w:style>
  <w:style w:type="paragraph" w:styleId="aff3">
    <w:name w:val="Normal (Web)"/>
    <w:basedOn w:val="a"/>
    <w:uiPriority w:val="99"/>
    <w:unhideWhenUsed/>
    <w:qFormat/>
    <w:rsid w:val="00CF7589"/>
    <w:pPr>
      <w:spacing w:beforeAutospacing="1" w:afterAutospacing="1" w:line="240"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443A8F"/>
    <w:pPr>
      <w:spacing w:after="100"/>
      <w:ind w:left="220"/>
    </w:pPr>
  </w:style>
  <w:style w:type="paragraph" w:styleId="aff4">
    <w:name w:val="Subtitle"/>
    <w:basedOn w:val="11"/>
    <w:next w:val="11"/>
    <w:qFormat/>
    <w:rsid w:val="00767166"/>
    <w:pPr>
      <w:keepNext/>
      <w:keepLines/>
      <w:spacing w:before="360" w:after="80"/>
    </w:pPr>
    <w:rPr>
      <w:rFonts w:ascii="Georgia" w:eastAsia="Georgia" w:hAnsi="Georgia" w:cs="Georgia"/>
      <w:i/>
      <w:color w:val="666666"/>
      <w:sz w:val="48"/>
      <w:szCs w:val="48"/>
    </w:rPr>
  </w:style>
  <w:style w:type="paragraph" w:customStyle="1" w:styleId="Bodyhang">
    <w:name w:val="Body hang"/>
    <w:basedOn w:val="13"/>
    <w:link w:val="BodyhangChar"/>
    <w:qFormat/>
    <w:rsid w:val="00EB5929"/>
    <w:pPr>
      <w:ind w:left="425" w:hanging="425"/>
    </w:pPr>
  </w:style>
  <w:style w:type="paragraph" w:customStyle="1" w:styleId="13">
    <w:name w:val="Основной текст1"/>
    <w:link w:val="BodytextChar"/>
    <w:qFormat/>
    <w:rsid w:val="00EB5929"/>
    <w:pPr>
      <w:spacing w:after="120" w:line="252" w:lineRule="auto"/>
    </w:pPr>
    <w:rPr>
      <w:rFonts w:ascii="AvenirNext LT Pro Regular" w:eastAsia="Times New Roman" w:hAnsi="AvenirNext LT Pro Regular" w:cs="Times New Roman"/>
      <w:color w:val="000000"/>
      <w:sz w:val="20"/>
      <w:szCs w:val="20"/>
      <w:lang w:val="en-GB" w:eastAsia="en-US"/>
    </w:rPr>
  </w:style>
  <w:style w:type="paragraph" w:customStyle="1" w:styleId="Requirement">
    <w:name w:val="Requirement"/>
    <w:basedOn w:val="13"/>
    <w:next w:val="13"/>
    <w:qFormat/>
    <w:rsid w:val="00EB5929"/>
    <w:rPr>
      <w:b/>
      <w:color w:val="4D4D4D"/>
    </w:rPr>
  </w:style>
  <w:style w:type="paragraph" w:customStyle="1" w:styleId="Qhead">
    <w:name w:val="Q head"/>
    <w:basedOn w:val="a"/>
    <w:next w:val="13"/>
    <w:link w:val="QheadChar1"/>
    <w:qFormat/>
    <w:rsid w:val="00EB5929"/>
    <w:pPr>
      <w:keepNext/>
      <w:tabs>
        <w:tab w:val="right" w:pos="-284"/>
      </w:tabs>
      <w:spacing w:before="240" w:after="240" w:line="240" w:lineRule="auto"/>
      <w:ind w:hanging="1701"/>
      <w:outlineLvl w:val="0"/>
    </w:pPr>
    <w:rPr>
      <w:rFonts w:ascii="AvenirNext LT Pro Regular" w:eastAsia="Times New Roman" w:hAnsi="AvenirNext LT Pro Regular" w:cs="Times New Roman"/>
      <w:b/>
      <w:color w:val="4D4D4D"/>
      <w:sz w:val="32"/>
      <w:szCs w:val="32"/>
      <w:lang w:val="en-GB" w:eastAsia="en-US"/>
    </w:rPr>
  </w:style>
  <w:style w:type="paragraph" w:customStyle="1" w:styleId="af4">
    <w:name w:val="(a)"/>
    <w:basedOn w:val="13"/>
    <w:link w:val="aChar"/>
    <w:qFormat/>
    <w:rsid w:val="00EB5929"/>
    <w:pPr>
      <w:ind w:left="850" w:hanging="425"/>
    </w:pPr>
  </w:style>
  <w:style w:type="paragraph" w:customStyle="1" w:styleId="Bodytext">
    <w:name w:val="Body text +"/>
    <w:basedOn w:val="13"/>
    <w:link w:val="BodytextChar0"/>
    <w:qFormat/>
    <w:rsid w:val="00EB5929"/>
    <w:pPr>
      <w:ind w:left="425"/>
    </w:pPr>
  </w:style>
  <w:style w:type="paragraph" w:customStyle="1" w:styleId="Computation">
    <w:name w:val="Computation"/>
    <w:link w:val="ComputationChar"/>
    <w:qFormat/>
    <w:rsid w:val="00EB5929"/>
    <w:rPr>
      <w:rFonts w:ascii="AvenirNext LT Pro Regular" w:eastAsia="Times New Roman" w:hAnsi="AvenirNext LT Pro Regular" w:cs="Times New Roman"/>
      <w:sz w:val="20"/>
      <w:szCs w:val="20"/>
      <w:lang w:val="en-GB" w:eastAsia="en-US"/>
    </w:rPr>
  </w:style>
  <w:style w:type="paragraph" w:customStyle="1" w:styleId="15">
    <w:name w:val="Стиль1"/>
    <w:basedOn w:val="a"/>
    <w:link w:val="14"/>
    <w:qFormat/>
    <w:rsid w:val="006B5BB2"/>
    <w:pPr>
      <w:spacing w:after="0" w:line="360" w:lineRule="auto"/>
      <w:ind w:firstLine="720"/>
      <w:jc w:val="both"/>
    </w:pPr>
    <w:rPr>
      <w:sz w:val="24"/>
    </w:rPr>
  </w:style>
  <w:style w:type="paragraph" w:styleId="af6">
    <w:name w:val="Body Text Indent"/>
    <w:basedOn w:val="a"/>
    <w:link w:val="af5"/>
    <w:uiPriority w:val="99"/>
    <w:semiHidden/>
    <w:unhideWhenUsed/>
    <w:rsid w:val="000E1A76"/>
    <w:pPr>
      <w:spacing w:after="120"/>
      <w:ind w:left="283"/>
    </w:pPr>
  </w:style>
  <w:style w:type="paragraph" w:customStyle="1" w:styleId="libtext">
    <w:name w:val="libtext"/>
    <w:basedOn w:val="a"/>
    <w:qFormat/>
    <w:rsid w:val="00BA72E9"/>
    <w:pPr>
      <w:spacing w:beforeAutospacing="1" w:afterAutospacing="1" w:line="240" w:lineRule="auto"/>
    </w:pPr>
    <w:rPr>
      <w:rFonts w:ascii="Times New Roman" w:eastAsia="Times New Roman" w:hAnsi="Times New Roman" w:cs="Times New Roman"/>
      <w:sz w:val="24"/>
      <w:szCs w:val="24"/>
    </w:rPr>
  </w:style>
  <w:style w:type="paragraph" w:styleId="30">
    <w:name w:val="toc 3"/>
    <w:basedOn w:val="a"/>
    <w:next w:val="a"/>
    <w:autoRedefine/>
    <w:uiPriority w:val="39"/>
    <w:unhideWhenUsed/>
    <w:rsid w:val="00DC0A8E"/>
    <w:pPr>
      <w:spacing w:after="100"/>
      <w:ind w:left="440"/>
    </w:pPr>
  </w:style>
  <w:style w:type="paragraph" w:customStyle="1" w:styleId="aff5">
    <w:name w:val="Колонтитул"/>
    <w:basedOn w:val="a"/>
    <w:qFormat/>
  </w:style>
  <w:style w:type="paragraph" w:styleId="af8">
    <w:name w:val="header"/>
    <w:basedOn w:val="a"/>
    <w:link w:val="af7"/>
    <w:uiPriority w:val="99"/>
    <w:unhideWhenUsed/>
    <w:rsid w:val="009027F8"/>
    <w:pPr>
      <w:tabs>
        <w:tab w:val="center" w:pos="4677"/>
        <w:tab w:val="right" w:pos="9355"/>
      </w:tabs>
      <w:spacing w:after="0" w:line="240" w:lineRule="auto"/>
    </w:pPr>
  </w:style>
  <w:style w:type="paragraph" w:styleId="afa">
    <w:name w:val="footer"/>
    <w:basedOn w:val="a"/>
    <w:link w:val="af9"/>
    <w:uiPriority w:val="99"/>
    <w:unhideWhenUsed/>
    <w:rsid w:val="009027F8"/>
    <w:pPr>
      <w:tabs>
        <w:tab w:val="center" w:pos="4677"/>
        <w:tab w:val="right" w:pos="9355"/>
      </w:tabs>
      <w:spacing w:after="0" w:line="240" w:lineRule="auto"/>
    </w:pPr>
  </w:style>
  <w:style w:type="paragraph" w:styleId="afc">
    <w:name w:val="No Spacing"/>
    <w:link w:val="afb"/>
    <w:uiPriority w:val="1"/>
    <w:qFormat/>
    <w:rsid w:val="00493AC6"/>
    <w:rPr>
      <w:rFonts w:asciiTheme="minorHAnsi" w:eastAsiaTheme="minorHAnsi" w:hAnsiTheme="minorHAnsi" w:cstheme="minorBidi"/>
      <w:lang w:eastAsia="en-US"/>
    </w:rPr>
  </w:style>
  <w:style w:type="table" w:customStyle="1" w:styleId="TableNormal">
    <w:name w:val="Table Normal"/>
    <w:rsid w:val="00767166"/>
    <w:tblPr>
      <w:tblCellMar>
        <w:top w:w="0" w:type="dxa"/>
        <w:left w:w="0" w:type="dxa"/>
        <w:bottom w:w="0" w:type="dxa"/>
        <w:right w:w="0" w:type="dxa"/>
      </w:tblCellMar>
    </w:tblPr>
  </w:style>
  <w:style w:type="table" w:styleId="aff6">
    <w:name w:val="Table Grid"/>
    <w:basedOn w:val="a1"/>
    <w:uiPriority w:val="39"/>
    <w:rsid w:val="00C64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586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uiPriority w:val="39"/>
    <w:rsid w:val="00735F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6B3367"/>
    <w:rPr>
      <w:sz w:val="20"/>
      <w:szCs w:val="20"/>
    </w:rPr>
    <w:tblPr>
      <w:tblCellMar>
        <w:top w:w="0" w:type="dxa"/>
        <w:left w:w="0" w:type="dxa"/>
        <w:bottom w:w="0" w:type="dxa"/>
        <w:right w:w="0" w:type="dxa"/>
      </w:tblCellMar>
    </w:tblPr>
  </w:style>
  <w:style w:type="table" w:customStyle="1" w:styleId="31">
    <w:name w:val="Сетка таблицы3"/>
    <w:basedOn w:val="a1"/>
    <w:uiPriority w:val="39"/>
    <w:rsid w:val="006B336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park-interfax.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5F986-3148-4E1E-9C91-92213F52B3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5891D-E564-4553-9046-1372BB331CCA}">
  <ds:schemaRefs>
    <ds:schemaRef ds:uri="http://schemas.microsoft.com/sharepoint/v3/contenttype/forms"/>
  </ds:schemaRefs>
</ds:datastoreItem>
</file>

<file path=customXml/itemProps3.xml><?xml version="1.0" encoding="utf-8"?>
<ds:datastoreItem xmlns:ds="http://schemas.openxmlformats.org/officeDocument/2006/customXml" ds:itemID="{AD041AEE-FA03-4B91-8E17-176FE0869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9A9D6C-EBF4-4DF8-B45B-4E176A63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31</Pages>
  <Words>8173</Words>
  <Characters>46591</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dc:creator>
  <dc:description/>
  <cp:lastModifiedBy>Граждан Оксана Николаевна</cp:lastModifiedBy>
  <cp:revision>11</cp:revision>
  <dcterms:created xsi:type="dcterms:W3CDTF">2024-01-29T13:08:00Z</dcterms:created>
  <dcterms:modified xsi:type="dcterms:W3CDTF">2024-02-29T06:26:00Z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